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642A8"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Customer:</w:t>
      </w:r>
      <w:r w:rsidRPr="00730379">
        <w:rPr>
          <w:rFonts w:ascii="Aptos" w:hAnsi="Aptos"/>
          <w:color w:val="013844"/>
          <w:sz w:val="22"/>
          <w:szCs w:val="22"/>
        </w:rPr>
        <w:t xml:space="preserve"> [Organisation]</w:t>
      </w:r>
      <w:r w:rsidRPr="00730379">
        <w:rPr>
          <w:rFonts w:ascii="Aptos" w:hAnsi="Aptos"/>
          <w:color w:val="013844"/>
          <w:sz w:val="22"/>
          <w:szCs w:val="22"/>
        </w:rPr>
        <w:br/>
      </w:r>
      <w:r w:rsidRPr="00730379">
        <w:rPr>
          <w:rFonts w:ascii="Aptos" w:hAnsi="Aptos"/>
          <w:b/>
          <w:bCs/>
          <w:color w:val="013844"/>
          <w:sz w:val="22"/>
          <w:szCs w:val="22"/>
        </w:rPr>
        <w:t>Site:</w:t>
      </w:r>
      <w:r w:rsidRPr="00730379">
        <w:rPr>
          <w:rFonts w:ascii="Aptos" w:hAnsi="Aptos"/>
          <w:color w:val="013844"/>
          <w:sz w:val="22"/>
          <w:szCs w:val="22"/>
        </w:rPr>
        <w:t xml:space="preserve"> [Clinic / ACCHO / Remote site name]</w:t>
      </w:r>
      <w:r w:rsidRPr="00730379">
        <w:rPr>
          <w:rFonts w:ascii="Aptos" w:hAnsi="Aptos"/>
          <w:color w:val="013844"/>
          <w:sz w:val="22"/>
          <w:szCs w:val="22"/>
        </w:rPr>
        <w:br/>
      </w:r>
      <w:r w:rsidRPr="00730379">
        <w:rPr>
          <w:rFonts w:ascii="Aptos" w:hAnsi="Aptos"/>
          <w:b/>
          <w:bCs/>
          <w:color w:val="013844"/>
          <w:sz w:val="22"/>
          <w:szCs w:val="22"/>
        </w:rPr>
        <w:t>Care model:</w:t>
      </w:r>
      <w:r w:rsidRPr="00730379">
        <w:rPr>
          <w:rFonts w:ascii="Aptos" w:hAnsi="Aptos"/>
          <w:color w:val="013844"/>
          <w:sz w:val="22"/>
          <w:szCs w:val="22"/>
        </w:rPr>
        <w:t xml:space="preserve"> [Clinic-based virtual care | Outreach/mobile | In-home support | Mixed]</w:t>
      </w:r>
      <w:r w:rsidRPr="00730379">
        <w:rPr>
          <w:rFonts w:ascii="Aptos" w:hAnsi="Aptos"/>
          <w:color w:val="013844"/>
          <w:sz w:val="22"/>
          <w:szCs w:val="22"/>
        </w:rPr>
        <w:br/>
      </w:r>
      <w:r w:rsidRPr="00730379">
        <w:rPr>
          <w:rFonts w:ascii="Aptos" w:hAnsi="Aptos"/>
          <w:b/>
          <w:bCs/>
          <w:color w:val="013844"/>
          <w:sz w:val="22"/>
          <w:szCs w:val="22"/>
        </w:rPr>
        <w:t>Version/date:</w:t>
      </w:r>
      <w:r w:rsidRPr="00730379">
        <w:rPr>
          <w:rFonts w:ascii="Aptos" w:hAnsi="Aptos"/>
          <w:color w:val="013844"/>
          <w:sz w:val="22"/>
          <w:szCs w:val="22"/>
        </w:rPr>
        <w:t xml:space="preserve"> [v0.1, DD MMM YYYY]</w:t>
      </w:r>
    </w:p>
    <w:p w14:paraId="0A46486B" w14:textId="250FF50E" w:rsidR="00A66AE8" w:rsidRPr="00730379" w:rsidRDefault="00DB0169">
      <w:pPr>
        <w:rPr>
          <w:rFonts w:ascii="Aptos" w:hAnsi="Aptos"/>
          <w:color w:val="013844"/>
          <w:sz w:val="22"/>
          <w:szCs w:val="22"/>
        </w:rPr>
      </w:pPr>
      <w:r w:rsidRPr="00730379">
        <w:rPr>
          <w:rFonts w:ascii="Aptos" w:hAnsi="Aptos"/>
          <w:b/>
          <w:bCs/>
          <w:color w:val="013844"/>
          <w:sz w:val="22"/>
          <w:szCs w:val="22"/>
        </w:rPr>
        <w:br/>
      </w:r>
      <w:r w:rsidR="00883EDF" w:rsidRPr="00730379">
        <w:rPr>
          <w:rFonts w:ascii="Aptos" w:hAnsi="Aptos"/>
          <w:b/>
          <w:bCs/>
          <w:color w:val="013844"/>
          <w:sz w:val="22"/>
          <w:szCs w:val="22"/>
        </w:rPr>
        <w:t>Audience:</w:t>
      </w:r>
      <w:r w:rsidR="00883EDF" w:rsidRPr="00730379">
        <w:rPr>
          <w:rFonts w:ascii="Aptos" w:hAnsi="Aptos"/>
          <w:color w:val="013844"/>
          <w:sz w:val="22"/>
          <w:szCs w:val="22"/>
        </w:rPr>
        <w:t xml:space="preserve"> This project plan is designed for customers deploying Visionflex virtual care technology. It can be used as a working document during rollout, go-live and BAU handover.</w:t>
      </w:r>
    </w:p>
    <w:p w14:paraId="4554F7D4" w14:textId="77777777" w:rsidR="00A66AE8" w:rsidRPr="00730379" w:rsidRDefault="00883EDF">
      <w:pPr>
        <w:rPr>
          <w:rFonts w:ascii="Aptos" w:hAnsi="Aptos"/>
          <w:color w:val="013844"/>
          <w:sz w:val="22"/>
          <w:szCs w:val="22"/>
        </w:rPr>
      </w:pPr>
      <w:r w:rsidRPr="00730379">
        <w:rPr>
          <w:rFonts w:ascii="Aptos" w:hAnsi="Aptos"/>
          <w:b/>
          <w:bCs/>
          <w:color w:val="013844"/>
          <w:sz w:val="22"/>
          <w:szCs w:val="22"/>
        </w:rPr>
        <w:t>How to use:</w:t>
      </w:r>
      <w:r w:rsidRPr="00730379">
        <w:rPr>
          <w:rFonts w:ascii="Aptos" w:hAnsi="Aptos"/>
          <w:color w:val="013844"/>
          <w:sz w:val="22"/>
          <w:szCs w:val="22"/>
        </w:rPr>
        <w:t xml:space="preserve"> Populate the placeholders, select three Phase 1 use cases, and confirm sign-off points with your Clinical Lead, IT Lead and Privacy Officer. Align this plan with your local policies and clinical governance processes.</w:t>
      </w:r>
    </w:p>
    <w:p w14:paraId="03E56083" w14:textId="2F06F898" w:rsidR="00BE3E63" w:rsidRPr="00730379" w:rsidRDefault="00883EDF">
      <w:pPr>
        <w:rPr>
          <w:rFonts w:ascii="Aptos" w:hAnsi="Aptos"/>
          <w:color w:val="013844"/>
          <w:sz w:val="22"/>
          <w:szCs w:val="22"/>
        </w:rPr>
      </w:pPr>
      <w:r w:rsidRPr="00730379">
        <w:rPr>
          <w:rFonts w:ascii="Aptos" w:hAnsi="Aptos"/>
          <w:b/>
          <w:bCs/>
          <w:color w:val="013844"/>
          <w:sz w:val="22"/>
          <w:szCs w:val="22"/>
        </w:rPr>
        <w:t>Important:</w:t>
      </w:r>
      <w:r w:rsidRPr="00730379">
        <w:rPr>
          <w:rFonts w:ascii="Aptos" w:hAnsi="Aptos"/>
          <w:color w:val="013844"/>
          <w:sz w:val="22"/>
          <w:szCs w:val="22"/>
        </w:rPr>
        <w:t xml:space="preserve"> This plan provides implementation guidance only. It does not replace clinical judgement, professional standards, or legal and regulatory obligations. Where local policy differs, local policy takes precedence.</w:t>
      </w:r>
      <w:r w:rsidR="00730379">
        <w:rPr>
          <w:rFonts w:ascii="Aptos" w:hAnsi="Aptos"/>
          <w:color w:val="013844"/>
          <w:sz w:val="22"/>
          <w:szCs w:val="22"/>
        </w:rPr>
        <w:br/>
      </w:r>
    </w:p>
    <w:p w14:paraId="391D593C" w14:textId="2AD5BB7E" w:rsidR="00FD0D6B" w:rsidRPr="00730379" w:rsidRDefault="00FD0D6B" w:rsidP="00730379">
      <w:pPr>
        <w:pStyle w:val="TOC1"/>
        <w:rPr>
          <w:rFonts w:eastAsiaTheme="minorEastAsia"/>
          <w:lang w:eastAsia="en-AU"/>
        </w:rPr>
      </w:pPr>
      <w:r w:rsidRPr="00730379">
        <w:fldChar w:fldCharType="begin"/>
      </w:r>
      <w:r w:rsidRPr="00730379">
        <w:instrText xml:space="preserve"> TOC \o "1-2" \h \z \u </w:instrText>
      </w:r>
      <w:r w:rsidRPr="00730379">
        <w:fldChar w:fldCharType="separate"/>
      </w:r>
      <w:hyperlink w:anchor="_Toc219805093" w:history="1">
        <w:r w:rsidRPr="00730379">
          <w:rPr>
            <w:rStyle w:val="Hyperlink"/>
            <w:b/>
            <w:bCs/>
            <w:color w:val="013844"/>
          </w:rPr>
          <w:t>Rollout Project Plan</w:t>
        </w:r>
        <w:r w:rsidRPr="00730379">
          <w:rPr>
            <w:webHidden/>
          </w:rPr>
          <w:tab/>
        </w:r>
        <w:r w:rsidRPr="00730379">
          <w:rPr>
            <w:webHidden/>
          </w:rPr>
          <w:fldChar w:fldCharType="begin"/>
        </w:r>
        <w:r w:rsidRPr="00730379">
          <w:rPr>
            <w:webHidden/>
          </w:rPr>
          <w:instrText xml:space="preserve"> PAGEREF _Toc219805093 \h </w:instrText>
        </w:r>
        <w:r w:rsidRPr="00730379">
          <w:rPr>
            <w:webHidden/>
          </w:rPr>
        </w:r>
        <w:r w:rsidRPr="00730379">
          <w:rPr>
            <w:webHidden/>
          </w:rPr>
          <w:fldChar w:fldCharType="separate"/>
        </w:r>
        <w:r w:rsidRPr="00730379">
          <w:rPr>
            <w:webHidden/>
          </w:rPr>
          <w:t>1</w:t>
        </w:r>
        <w:r w:rsidRPr="00730379">
          <w:rPr>
            <w:webHidden/>
          </w:rPr>
          <w:fldChar w:fldCharType="end"/>
        </w:r>
      </w:hyperlink>
    </w:p>
    <w:p w14:paraId="35F53554" w14:textId="1C91431E"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094" w:history="1">
        <w:r w:rsidRPr="00730379">
          <w:rPr>
            <w:rStyle w:val="Hyperlink"/>
            <w:rFonts w:ascii="Aptos" w:hAnsi="Aptos"/>
            <w:noProof/>
            <w:color w:val="013844"/>
            <w:sz w:val="22"/>
            <w:szCs w:val="22"/>
          </w:rPr>
          <w:t>Section 1. Project overview</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_Toc219805094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1</w:t>
        </w:r>
        <w:r w:rsidRPr="00730379">
          <w:rPr>
            <w:rFonts w:ascii="Aptos" w:hAnsi="Aptos"/>
            <w:noProof/>
            <w:webHidden/>
            <w:color w:val="013844"/>
            <w:sz w:val="22"/>
            <w:szCs w:val="22"/>
          </w:rPr>
          <w:fldChar w:fldCharType="end"/>
        </w:r>
      </w:hyperlink>
    </w:p>
    <w:p w14:paraId="1B0BABE3" w14:textId="271FDB7D"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095" w:history="1">
        <w:r w:rsidRPr="00730379">
          <w:rPr>
            <w:rStyle w:val="Hyperlink"/>
            <w:rFonts w:ascii="Aptos" w:hAnsi="Aptos"/>
            <w:noProof/>
            <w:color w:val="013844"/>
            <w:sz w:val="22"/>
            <w:szCs w:val="22"/>
          </w:rPr>
          <w:t>Section 2. Governance, roles, cadence</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_Toc219805095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2</w:t>
        </w:r>
        <w:r w:rsidRPr="00730379">
          <w:rPr>
            <w:rFonts w:ascii="Aptos" w:hAnsi="Aptos"/>
            <w:noProof/>
            <w:webHidden/>
            <w:color w:val="013844"/>
            <w:sz w:val="22"/>
            <w:szCs w:val="22"/>
          </w:rPr>
          <w:fldChar w:fldCharType="end"/>
        </w:r>
      </w:hyperlink>
    </w:p>
    <w:p w14:paraId="29CDEB2C" w14:textId="4512376F"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096" w:history="1">
        <w:r w:rsidRPr="00730379">
          <w:rPr>
            <w:rStyle w:val="Hyperlink"/>
            <w:rFonts w:ascii="Aptos" w:hAnsi="Aptos"/>
            <w:noProof/>
            <w:color w:val="013844"/>
            <w:sz w:val="22"/>
            <w:szCs w:val="22"/>
          </w:rPr>
          <w:t>Section 3. Readiness assessment and discovery</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_Toc219805096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3</w:t>
        </w:r>
        <w:r w:rsidRPr="00730379">
          <w:rPr>
            <w:rFonts w:ascii="Aptos" w:hAnsi="Aptos"/>
            <w:noProof/>
            <w:webHidden/>
            <w:color w:val="013844"/>
            <w:sz w:val="22"/>
            <w:szCs w:val="22"/>
          </w:rPr>
          <w:fldChar w:fldCharType="end"/>
        </w:r>
      </w:hyperlink>
    </w:p>
    <w:p w14:paraId="5BC3CA4E" w14:textId="0C27B749"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097" w:history="1">
        <w:r w:rsidRPr="00730379">
          <w:rPr>
            <w:rStyle w:val="Hyperlink"/>
            <w:rFonts w:ascii="Aptos" w:hAnsi="Aptos"/>
            <w:noProof/>
            <w:color w:val="013844"/>
            <w:sz w:val="22"/>
            <w:szCs w:val="22"/>
          </w:rPr>
          <w:t>Section 4. Solution design and workflow sign-off</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_Toc219805097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4</w:t>
        </w:r>
        <w:r w:rsidRPr="00730379">
          <w:rPr>
            <w:rFonts w:ascii="Aptos" w:hAnsi="Aptos"/>
            <w:noProof/>
            <w:webHidden/>
            <w:color w:val="013844"/>
            <w:sz w:val="22"/>
            <w:szCs w:val="22"/>
          </w:rPr>
          <w:fldChar w:fldCharType="end"/>
        </w:r>
      </w:hyperlink>
    </w:p>
    <w:p w14:paraId="0134EB94" w14:textId="5DDCF06F"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098" w:history="1">
        <w:r w:rsidRPr="00730379">
          <w:rPr>
            <w:rStyle w:val="Hyperlink"/>
            <w:rFonts w:ascii="Aptos" w:hAnsi="Aptos"/>
            <w:noProof/>
            <w:color w:val="013844"/>
            <w:sz w:val="22"/>
            <w:szCs w:val="22"/>
          </w:rPr>
          <w:t>Section 5. Technical deployment and validation</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_Toc219805098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7</w:t>
        </w:r>
        <w:r w:rsidRPr="00730379">
          <w:rPr>
            <w:rFonts w:ascii="Aptos" w:hAnsi="Aptos"/>
            <w:noProof/>
            <w:webHidden/>
            <w:color w:val="013844"/>
            <w:sz w:val="22"/>
            <w:szCs w:val="22"/>
          </w:rPr>
          <w:fldChar w:fldCharType="end"/>
        </w:r>
      </w:hyperlink>
    </w:p>
    <w:p w14:paraId="663E4D0D" w14:textId="35D96D6C"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099" w:history="1">
        <w:r w:rsidRPr="00730379">
          <w:rPr>
            <w:rStyle w:val="Hyperlink"/>
            <w:rFonts w:ascii="Aptos" w:hAnsi="Aptos"/>
            <w:noProof/>
            <w:color w:val="013844"/>
            <w:sz w:val="22"/>
            <w:szCs w:val="22"/>
          </w:rPr>
          <w:t>Section 6. Privacy, consent, and information handling</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_Toc219805099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10</w:t>
        </w:r>
        <w:r w:rsidRPr="00730379">
          <w:rPr>
            <w:rFonts w:ascii="Aptos" w:hAnsi="Aptos"/>
            <w:noProof/>
            <w:webHidden/>
            <w:color w:val="013844"/>
            <w:sz w:val="22"/>
            <w:szCs w:val="22"/>
          </w:rPr>
          <w:fldChar w:fldCharType="end"/>
        </w:r>
      </w:hyperlink>
    </w:p>
    <w:p w14:paraId="7F1EE614" w14:textId="60D75840"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100" w:history="1">
        <w:r w:rsidRPr="00730379">
          <w:rPr>
            <w:rStyle w:val="Hyperlink"/>
            <w:rFonts w:ascii="Aptos" w:hAnsi="Aptos"/>
            <w:noProof/>
            <w:color w:val="013844"/>
            <w:sz w:val="22"/>
            <w:szCs w:val="22"/>
          </w:rPr>
          <w:t>Section 7. Change management and communications</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_Toc219805100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13</w:t>
        </w:r>
        <w:r w:rsidRPr="00730379">
          <w:rPr>
            <w:rFonts w:ascii="Aptos" w:hAnsi="Aptos"/>
            <w:noProof/>
            <w:webHidden/>
            <w:color w:val="013844"/>
            <w:sz w:val="22"/>
            <w:szCs w:val="22"/>
          </w:rPr>
          <w:fldChar w:fldCharType="end"/>
        </w:r>
      </w:hyperlink>
    </w:p>
    <w:p w14:paraId="5F6D8A52" w14:textId="79226E4F"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101" w:history="1">
        <w:r w:rsidRPr="00730379">
          <w:rPr>
            <w:rStyle w:val="Hyperlink"/>
            <w:rFonts w:ascii="Aptos" w:hAnsi="Aptos"/>
            <w:noProof/>
            <w:color w:val="013844"/>
            <w:sz w:val="22"/>
            <w:szCs w:val="22"/>
          </w:rPr>
          <w:t>Section 8. Training and competency</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_Toc219805101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15</w:t>
        </w:r>
        <w:r w:rsidRPr="00730379">
          <w:rPr>
            <w:rFonts w:ascii="Aptos" w:hAnsi="Aptos"/>
            <w:noProof/>
            <w:webHidden/>
            <w:color w:val="013844"/>
            <w:sz w:val="22"/>
            <w:szCs w:val="22"/>
          </w:rPr>
          <w:fldChar w:fldCharType="end"/>
        </w:r>
      </w:hyperlink>
    </w:p>
    <w:p w14:paraId="08604BC7" w14:textId="3D797D2E"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102" w:history="1">
        <w:r w:rsidRPr="00730379">
          <w:rPr>
            <w:rStyle w:val="Hyperlink"/>
            <w:rFonts w:ascii="Aptos" w:hAnsi="Aptos"/>
            <w:noProof/>
            <w:color w:val="013844"/>
            <w:sz w:val="22"/>
            <w:szCs w:val="22"/>
          </w:rPr>
          <w:t>Section 9. Go-live and hypercare</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_Toc219805102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18</w:t>
        </w:r>
        <w:r w:rsidRPr="00730379">
          <w:rPr>
            <w:rFonts w:ascii="Aptos" w:hAnsi="Aptos"/>
            <w:noProof/>
            <w:webHidden/>
            <w:color w:val="013844"/>
            <w:sz w:val="22"/>
            <w:szCs w:val="22"/>
          </w:rPr>
          <w:fldChar w:fldCharType="end"/>
        </w:r>
      </w:hyperlink>
    </w:p>
    <w:p w14:paraId="7147B88D" w14:textId="18FA34B7" w:rsidR="00FD0D6B" w:rsidRPr="00730379" w:rsidRDefault="00FD0D6B">
      <w:pPr>
        <w:pStyle w:val="TOC2"/>
        <w:tabs>
          <w:tab w:val="right" w:leader="dot" w:pos="9016"/>
        </w:tabs>
        <w:rPr>
          <w:rFonts w:ascii="Aptos" w:eastAsiaTheme="minorEastAsia" w:hAnsi="Aptos"/>
          <w:noProof/>
          <w:color w:val="013844"/>
          <w:sz w:val="22"/>
          <w:szCs w:val="22"/>
          <w:lang w:eastAsia="en-AU"/>
        </w:rPr>
      </w:pPr>
      <w:hyperlink w:anchor="_Toc219805103" w:history="1">
        <w:r w:rsidRPr="00730379">
          <w:rPr>
            <w:rStyle w:val="Hyperlink"/>
            <w:rFonts w:ascii="Aptos" w:hAnsi="Aptos"/>
            <w:noProof/>
            <w:color w:val="013844"/>
            <w:sz w:val="22"/>
            <w:szCs w:val="22"/>
          </w:rPr>
          <w:t>Section 10. BAU operations and continuous improvement</w:t>
        </w:r>
        <w:r w:rsidRPr="00730379">
          <w:rPr>
            <w:rFonts w:ascii="Aptos" w:hAnsi="Aptos"/>
            <w:noProof/>
            <w:webHidden/>
            <w:color w:val="013844"/>
            <w:sz w:val="22"/>
            <w:szCs w:val="22"/>
          </w:rPr>
          <w:tab/>
        </w:r>
        <w:r w:rsidRPr="00730379">
          <w:rPr>
            <w:rFonts w:ascii="Aptos" w:hAnsi="Aptos"/>
            <w:noProof/>
            <w:webHidden/>
            <w:color w:val="013844"/>
            <w:sz w:val="22"/>
            <w:szCs w:val="22"/>
          </w:rPr>
          <w:fldChar w:fldCharType="begin"/>
        </w:r>
        <w:r w:rsidRPr="00730379">
          <w:rPr>
            <w:rFonts w:ascii="Aptos" w:hAnsi="Aptos"/>
            <w:noProof/>
            <w:webHidden/>
            <w:color w:val="013844"/>
            <w:sz w:val="22"/>
            <w:szCs w:val="22"/>
          </w:rPr>
          <w:instrText xml:space="preserve"> PAGEREF _Toc219805103 \h </w:instrText>
        </w:r>
        <w:r w:rsidRPr="00730379">
          <w:rPr>
            <w:rFonts w:ascii="Aptos" w:hAnsi="Aptos"/>
            <w:noProof/>
            <w:webHidden/>
            <w:color w:val="013844"/>
            <w:sz w:val="22"/>
            <w:szCs w:val="22"/>
          </w:rPr>
        </w:r>
        <w:r w:rsidRPr="00730379">
          <w:rPr>
            <w:rFonts w:ascii="Aptos" w:hAnsi="Aptos"/>
            <w:noProof/>
            <w:webHidden/>
            <w:color w:val="013844"/>
            <w:sz w:val="22"/>
            <w:szCs w:val="22"/>
          </w:rPr>
          <w:fldChar w:fldCharType="separate"/>
        </w:r>
        <w:r w:rsidRPr="00730379">
          <w:rPr>
            <w:rFonts w:ascii="Aptos" w:hAnsi="Aptos"/>
            <w:noProof/>
            <w:webHidden/>
            <w:color w:val="013844"/>
            <w:sz w:val="22"/>
            <w:szCs w:val="22"/>
          </w:rPr>
          <w:t>21</w:t>
        </w:r>
        <w:r w:rsidRPr="00730379">
          <w:rPr>
            <w:rFonts w:ascii="Aptos" w:hAnsi="Aptos"/>
            <w:noProof/>
            <w:webHidden/>
            <w:color w:val="013844"/>
            <w:sz w:val="22"/>
            <w:szCs w:val="22"/>
          </w:rPr>
          <w:fldChar w:fldCharType="end"/>
        </w:r>
      </w:hyperlink>
    </w:p>
    <w:p w14:paraId="67800051" w14:textId="104C47A0" w:rsidR="00FD0D6B" w:rsidRPr="00730379" w:rsidRDefault="00FD0D6B" w:rsidP="00730379">
      <w:pPr>
        <w:pStyle w:val="TOC1"/>
        <w:rPr>
          <w:rFonts w:eastAsiaTheme="minorEastAsia"/>
          <w:lang w:eastAsia="en-AU"/>
        </w:rPr>
      </w:pPr>
      <w:hyperlink w:anchor="_Toc219805104" w:history="1">
        <w:r w:rsidRPr="00730379">
          <w:rPr>
            <w:rStyle w:val="Hyperlink"/>
            <w:b/>
            <w:bCs/>
            <w:color w:val="013844"/>
          </w:rPr>
          <w:t>Refere</w:t>
        </w:r>
        <w:r w:rsidRPr="00730379">
          <w:rPr>
            <w:rStyle w:val="Hyperlink"/>
            <w:b/>
            <w:bCs/>
            <w:color w:val="013844"/>
          </w:rPr>
          <w:t>n</w:t>
        </w:r>
        <w:r w:rsidRPr="00730379">
          <w:rPr>
            <w:rStyle w:val="Hyperlink"/>
            <w:b/>
            <w:bCs/>
            <w:color w:val="013844"/>
          </w:rPr>
          <w:t>ces and useful resources</w:t>
        </w:r>
        <w:r w:rsidRPr="00730379">
          <w:rPr>
            <w:webHidden/>
          </w:rPr>
          <w:tab/>
        </w:r>
        <w:r w:rsidRPr="00730379">
          <w:rPr>
            <w:webHidden/>
          </w:rPr>
          <w:fldChar w:fldCharType="begin"/>
        </w:r>
        <w:r w:rsidRPr="00730379">
          <w:rPr>
            <w:webHidden/>
          </w:rPr>
          <w:instrText xml:space="preserve"> PAGEREF _Toc219805104 \h </w:instrText>
        </w:r>
        <w:r w:rsidRPr="00730379">
          <w:rPr>
            <w:webHidden/>
          </w:rPr>
        </w:r>
        <w:r w:rsidRPr="00730379">
          <w:rPr>
            <w:webHidden/>
          </w:rPr>
          <w:fldChar w:fldCharType="separate"/>
        </w:r>
        <w:r w:rsidRPr="00730379">
          <w:rPr>
            <w:webHidden/>
          </w:rPr>
          <w:t>26</w:t>
        </w:r>
        <w:r w:rsidRPr="00730379">
          <w:rPr>
            <w:webHidden/>
          </w:rPr>
          <w:fldChar w:fldCharType="end"/>
        </w:r>
      </w:hyperlink>
    </w:p>
    <w:p w14:paraId="6A92997B" w14:textId="49FAA133" w:rsidR="00730379" w:rsidRPr="00730379" w:rsidRDefault="00730379" w:rsidP="00730379">
      <w:pPr>
        <w:spacing w:line="240" w:lineRule="auto"/>
        <w:rPr>
          <w:b/>
          <w:bCs/>
          <w:color w:val="013844"/>
        </w:rPr>
      </w:pPr>
      <w:r>
        <w:rPr>
          <w:rFonts w:ascii="Aptos" w:hAnsi="Aptos"/>
          <w:color w:val="013844"/>
          <w:sz w:val="22"/>
          <w:szCs w:val="22"/>
        </w:rPr>
        <w:br/>
      </w:r>
      <w:r w:rsidRPr="00730379">
        <w:rPr>
          <w:rFonts w:ascii="Aptos" w:hAnsi="Aptos"/>
          <w:color w:val="013844"/>
          <w:sz w:val="22"/>
          <w:szCs w:val="22"/>
        </w:rPr>
        <w:br/>
      </w:r>
      <w:r w:rsidR="00FD0D6B" w:rsidRPr="00730379">
        <w:rPr>
          <w:rFonts w:ascii="Aptos" w:hAnsi="Aptos"/>
          <w:color w:val="013844"/>
          <w:sz w:val="22"/>
          <w:szCs w:val="22"/>
        </w:rPr>
        <w:fldChar w:fldCharType="end"/>
      </w:r>
      <w:r w:rsidRPr="00730379">
        <w:rPr>
          <w:b/>
          <w:bCs/>
          <w:color w:val="013844"/>
        </w:rPr>
        <w:t>Contact Visionflex After Sales and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885"/>
        <w:gridCol w:w="4886"/>
      </w:tblGrid>
      <w:tr w:rsidR="00730379" w14:paraId="15A4DF7D" w14:textId="77777777" w:rsidTr="00730379">
        <w:tc>
          <w:tcPr>
            <w:tcW w:w="4885" w:type="dxa"/>
          </w:tcPr>
          <w:p w14:paraId="3492A331" w14:textId="0BF65793" w:rsidR="00730379" w:rsidRPr="00730379" w:rsidRDefault="00730379" w:rsidP="00730379">
            <w:pPr>
              <w:rPr>
                <w:color w:val="013844"/>
                <w:sz w:val="22"/>
                <w:szCs w:val="22"/>
              </w:rPr>
            </w:pPr>
            <w:r w:rsidRPr="00730379">
              <w:rPr>
                <w:b/>
                <w:bCs/>
                <w:color w:val="013844"/>
                <w:sz w:val="22"/>
                <w:szCs w:val="22"/>
              </w:rPr>
              <w:t>Hours:</w:t>
            </w:r>
            <w:r w:rsidRPr="00730379">
              <w:rPr>
                <w:color w:val="013844"/>
                <w:sz w:val="22"/>
                <w:szCs w:val="22"/>
              </w:rPr>
              <w:t xml:space="preserve"> </w:t>
            </w:r>
            <w:r w:rsidRPr="00730379">
              <w:rPr>
                <w:color w:val="013844"/>
                <w:sz w:val="22"/>
                <w:szCs w:val="22"/>
              </w:rPr>
              <w:t xml:space="preserve">9am to 5.30pm AEST Monday to Friday </w:t>
            </w:r>
          </w:p>
        </w:tc>
        <w:tc>
          <w:tcPr>
            <w:tcW w:w="4886" w:type="dxa"/>
          </w:tcPr>
          <w:p w14:paraId="788B5E12" w14:textId="4727A814" w:rsidR="00730379" w:rsidRPr="00730379" w:rsidRDefault="00730379" w:rsidP="00730379">
            <w:pPr>
              <w:rPr>
                <w:rFonts w:ascii="Aptos" w:hAnsi="Aptos"/>
                <w:color w:val="013844"/>
                <w:sz w:val="22"/>
                <w:szCs w:val="22"/>
              </w:rPr>
            </w:pPr>
            <w:r w:rsidRPr="00730379">
              <w:rPr>
                <w:b/>
                <w:bCs/>
                <w:color w:val="013844"/>
                <w:sz w:val="22"/>
                <w:szCs w:val="22"/>
              </w:rPr>
              <w:t>Online:</w:t>
            </w:r>
            <w:r w:rsidRPr="00730379">
              <w:rPr>
                <w:color w:val="013844"/>
                <w:sz w:val="22"/>
                <w:szCs w:val="22"/>
              </w:rPr>
              <w:t xml:space="preserve"> </w:t>
            </w:r>
            <w:hyperlink r:id="rId10" w:history="1">
              <w:r w:rsidRPr="00730379">
                <w:rPr>
                  <w:rStyle w:val="Hyperlink"/>
                  <w:color w:val="013844"/>
                  <w:sz w:val="22"/>
                  <w:szCs w:val="22"/>
                </w:rPr>
                <w:t>www.visionflex.com/support</w:t>
              </w:r>
            </w:hyperlink>
          </w:p>
        </w:tc>
      </w:tr>
      <w:tr w:rsidR="00730379" w14:paraId="2F6E8374" w14:textId="77777777" w:rsidTr="00730379">
        <w:tc>
          <w:tcPr>
            <w:tcW w:w="4885" w:type="dxa"/>
          </w:tcPr>
          <w:p w14:paraId="711E7721" w14:textId="0685F689" w:rsidR="00730379" w:rsidRPr="00730379" w:rsidRDefault="00730379" w:rsidP="00730379">
            <w:pPr>
              <w:rPr>
                <w:rFonts w:ascii="Aptos" w:hAnsi="Aptos"/>
                <w:color w:val="013844"/>
                <w:sz w:val="22"/>
                <w:szCs w:val="22"/>
              </w:rPr>
            </w:pPr>
            <w:r w:rsidRPr="00730379">
              <w:rPr>
                <w:b/>
                <w:bCs/>
                <w:color w:val="013844"/>
                <w:sz w:val="22"/>
                <w:szCs w:val="22"/>
              </w:rPr>
              <w:t>Phone:</w:t>
            </w:r>
            <w:r w:rsidRPr="00730379">
              <w:rPr>
                <w:color w:val="013844"/>
                <w:sz w:val="22"/>
                <w:szCs w:val="22"/>
              </w:rPr>
              <w:t xml:space="preserve"> </w:t>
            </w:r>
            <w:hyperlink r:id="rId11" w:history="1">
              <w:r w:rsidRPr="00730379">
                <w:rPr>
                  <w:rStyle w:val="Hyperlink"/>
                  <w:color w:val="013844"/>
                  <w:sz w:val="22"/>
                  <w:szCs w:val="22"/>
                </w:rPr>
                <w:t>+61 2 8914 4000</w:t>
              </w:r>
            </w:hyperlink>
          </w:p>
        </w:tc>
        <w:tc>
          <w:tcPr>
            <w:tcW w:w="4886" w:type="dxa"/>
          </w:tcPr>
          <w:p w14:paraId="38CD1A16" w14:textId="431E8816" w:rsidR="00730379" w:rsidRPr="00730379" w:rsidRDefault="00730379" w:rsidP="00730379">
            <w:pPr>
              <w:rPr>
                <w:color w:val="013844"/>
                <w:sz w:val="22"/>
                <w:szCs w:val="22"/>
              </w:rPr>
            </w:pPr>
            <w:r w:rsidRPr="00730379">
              <w:rPr>
                <w:b/>
                <w:bCs/>
                <w:color w:val="013844"/>
                <w:sz w:val="22"/>
                <w:szCs w:val="22"/>
              </w:rPr>
              <w:t>Email:</w:t>
            </w:r>
            <w:r w:rsidRPr="00730379">
              <w:rPr>
                <w:color w:val="013844"/>
                <w:sz w:val="22"/>
                <w:szCs w:val="22"/>
              </w:rPr>
              <w:t xml:space="preserve"> </w:t>
            </w:r>
            <w:hyperlink r:id="rId12" w:history="1">
              <w:r w:rsidRPr="00730379">
                <w:rPr>
                  <w:rStyle w:val="Hyperlink"/>
                  <w:color w:val="013844"/>
                  <w:sz w:val="22"/>
                  <w:szCs w:val="22"/>
                </w:rPr>
                <w:t>support@visionflex.com</w:t>
              </w:r>
            </w:hyperlink>
          </w:p>
        </w:tc>
      </w:tr>
    </w:tbl>
    <w:p w14:paraId="4F206315" w14:textId="5A297A36" w:rsidR="00221760" w:rsidRPr="00730379" w:rsidRDefault="00221760" w:rsidP="00FD0D6B">
      <w:pPr>
        <w:rPr>
          <w:rFonts w:ascii="Aptos" w:hAnsi="Aptos"/>
          <w:color w:val="013844"/>
          <w:sz w:val="22"/>
          <w:szCs w:val="22"/>
        </w:rPr>
      </w:pPr>
    </w:p>
    <w:p w14:paraId="24E9B3E4" w14:textId="55DB1CA2" w:rsidR="001A2B51" w:rsidRPr="00730379" w:rsidRDefault="0088417C" w:rsidP="00221760">
      <w:pPr>
        <w:rPr>
          <w:rFonts w:ascii="Aptos" w:hAnsi="Aptos"/>
          <w:color w:val="013844"/>
          <w:sz w:val="22"/>
          <w:szCs w:val="22"/>
        </w:rPr>
      </w:pPr>
      <w:r w:rsidRPr="00730379">
        <w:rPr>
          <w:rFonts w:ascii="Aptos" w:hAnsi="Aptos"/>
          <w:color w:val="013844"/>
          <w:sz w:val="22"/>
          <w:szCs w:val="22"/>
        </w:rPr>
        <w:br w:type="page"/>
      </w:r>
      <w:bookmarkStart w:id="0" w:name="_Toc219805094"/>
      <w:r w:rsidR="00221760" w:rsidRPr="00730379">
        <w:rPr>
          <w:rFonts w:ascii="Aptos" w:hAnsi="Aptos"/>
          <w:color w:val="013844"/>
        </w:rPr>
        <w:lastRenderedPageBreak/>
        <w:t>SECTION 1</w:t>
      </w:r>
      <w:r w:rsidR="00221760" w:rsidRPr="00730379">
        <w:rPr>
          <w:rFonts w:ascii="Aptos" w:hAnsi="Aptos"/>
          <w:color w:val="013844"/>
          <w:sz w:val="28"/>
          <w:szCs w:val="28"/>
        </w:rPr>
        <w:t xml:space="preserve"> </w:t>
      </w:r>
      <w:r w:rsidR="00221760" w:rsidRPr="00730379">
        <w:rPr>
          <w:rFonts w:ascii="Aptos" w:hAnsi="Aptos"/>
          <w:color w:val="013844"/>
          <w:sz w:val="28"/>
          <w:szCs w:val="28"/>
        </w:rPr>
        <w:br/>
      </w:r>
      <w:r w:rsidR="001A2B51" w:rsidRPr="00BA74CE">
        <w:rPr>
          <w:rFonts w:ascii="Aptos" w:hAnsi="Aptos"/>
          <w:b/>
          <w:bCs/>
          <w:color w:val="013844"/>
          <w:sz w:val="32"/>
          <w:szCs w:val="32"/>
        </w:rPr>
        <w:t>Project overview</w:t>
      </w:r>
      <w:bookmarkEnd w:id="0"/>
    </w:p>
    <w:p w14:paraId="34A6FF88"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1.1 Purpose</w:t>
      </w:r>
    </w:p>
    <w:p w14:paraId="05A5C5BF"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This project implements Visionflex virtual care technology at [Site] to enable safe, reliable virtual consultations and clinically meaningful use of peripherals (as applicable). The implementation will be embedded into existing clinical governance and safety systems, with clear accountabilities for quality and risk. </w:t>
      </w:r>
    </w:p>
    <w:p w14:paraId="439FF2D9"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1.2 Scope</w:t>
      </w:r>
    </w:p>
    <w:p w14:paraId="6A344D17"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In scope</w:t>
      </w:r>
      <w:r w:rsidRPr="00730379">
        <w:rPr>
          <w:rFonts w:ascii="Aptos" w:hAnsi="Aptos"/>
          <w:color w:val="013844"/>
          <w:sz w:val="22"/>
          <w:szCs w:val="22"/>
        </w:rPr>
        <w:br/>
        <w:t>Virtual consultation workflows for the Phase 1 use cases listed in Section 3.3, including required equipment setup, access control, staff training, privacy and consent workflow, and operational SOPs for go-live and BAU.</w:t>
      </w:r>
    </w:p>
    <w:p w14:paraId="737E5886"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Out of scope (unless explicitly added)</w:t>
      </w:r>
      <w:r w:rsidRPr="00730379">
        <w:rPr>
          <w:rFonts w:ascii="Aptos" w:hAnsi="Aptos"/>
          <w:color w:val="013844"/>
          <w:sz w:val="22"/>
          <w:szCs w:val="22"/>
        </w:rPr>
        <w:br/>
        <w:t>Commissioning a new clinical service, redesign of EMR, procurement of internet services, hardware beyond the agreed bill of materials, and workforce recruitment.</w:t>
      </w:r>
    </w:p>
    <w:p w14:paraId="5116FF78"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1.3 Success criteria</w:t>
      </w:r>
    </w:p>
    <w:p w14:paraId="7A5382EB"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Success is achieved when:</w:t>
      </w:r>
    </w:p>
    <w:p w14:paraId="70D279E3" w14:textId="77777777" w:rsidR="001A2B51" w:rsidRPr="00730379" w:rsidRDefault="001A2B51" w:rsidP="001A2B51">
      <w:pPr>
        <w:numPr>
          <w:ilvl w:val="0"/>
          <w:numId w:val="5"/>
        </w:numPr>
        <w:rPr>
          <w:rFonts w:ascii="Aptos" w:hAnsi="Aptos"/>
          <w:color w:val="013844"/>
          <w:sz w:val="22"/>
          <w:szCs w:val="22"/>
        </w:rPr>
      </w:pPr>
      <w:r w:rsidRPr="00730379">
        <w:rPr>
          <w:rFonts w:ascii="Aptos" w:hAnsi="Aptos"/>
          <w:color w:val="013844"/>
          <w:sz w:val="22"/>
          <w:szCs w:val="22"/>
        </w:rPr>
        <w:t xml:space="preserve">The site can run the Phase 1 use cases end-to-end using the agreed workflow and escalation pathway, with Clinical Lead sign-off. (Virtual care still requires the same safety and quality expectations as in-person care.) </w:t>
      </w:r>
    </w:p>
    <w:p w14:paraId="559AF7DE" w14:textId="77777777" w:rsidR="001A2B51" w:rsidRPr="00730379" w:rsidRDefault="001A2B51" w:rsidP="001A2B51">
      <w:pPr>
        <w:numPr>
          <w:ilvl w:val="0"/>
          <w:numId w:val="5"/>
        </w:numPr>
        <w:rPr>
          <w:rFonts w:ascii="Aptos" w:hAnsi="Aptos"/>
          <w:color w:val="013844"/>
          <w:sz w:val="22"/>
          <w:szCs w:val="22"/>
        </w:rPr>
      </w:pPr>
      <w:r w:rsidRPr="00730379">
        <w:rPr>
          <w:rFonts w:ascii="Aptos" w:hAnsi="Aptos"/>
          <w:color w:val="013844"/>
          <w:sz w:val="22"/>
          <w:szCs w:val="22"/>
        </w:rPr>
        <w:t xml:space="preserve">All key roles complete training and a short competency check appropriate to their role. </w:t>
      </w:r>
    </w:p>
    <w:p w14:paraId="3523E9F9" w14:textId="77777777" w:rsidR="001A2B51" w:rsidRPr="00730379" w:rsidRDefault="001A2B51" w:rsidP="001A2B51">
      <w:pPr>
        <w:numPr>
          <w:ilvl w:val="0"/>
          <w:numId w:val="5"/>
        </w:numPr>
        <w:rPr>
          <w:rFonts w:ascii="Aptos" w:hAnsi="Aptos"/>
          <w:color w:val="013844"/>
          <w:sz w:val="22"/>
          <w:szCs w:val="22"/>
        </w:rPr>
      </w:pPr>
      <w:r w:rsidRPr="00730379">
        <w:rPr>
          <w:rFonts w:ascii="Aptos" w:hAnsi="Aptos"/>
          <w:color w:val="013844"/>
          <w:sz w:val="22"/>
          <w:szCs w:val="22"/>
        </w:rPr>
        <w:t xml:space="preserve">Privacy, consent, and information handling steps are implemented in routine practice and documented. </w:t>
      </w:r>
    </w:p>
    <w:p w14:paraId="3DD3C5A1" w14:textId="77777777" w:rsidR="001A2B51" w:rsidRPr="00730379" w:rsidRDefault="001A2B51" w:rsidP="001A2B51">
      <w:pPr>
        <w:numPr>
          <w:ilvl w:val="0"/>
          <w:numId w:val="5"/>
        </w:numPr>
        <w:rPr>
          <w:rFonts w:ascii="Aptos" w:hAnsi="Aptos"/>
          <w:color w:val="013844"/>
          <w:sz w:val="22"/>
          <w:szCs w:val="22"/>
        </w:rPr>
      </w:pPr>
      <w:r w:rsidRPr="00730379">
        <w:rPr>
          <w:rFonts w:ascii="Aptos" w:hAnsi="Aptos"/>
          <w:color w:val="013844"/>
          <w:sz w:val="22"/>
          <w:szCs w:val="22"/>
        </w:rPr>
        <w:t xml:space="preserve">The service establishes a baseline usage and a 30/90-day review cadence to improve adoption and outcomes. </w:t>
      </w:r>
    </w:p>
    <w:p w14:paraId="005198F8"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1.4 Assumptions and constraints</w:t>
      </w:r>
    </w:p>
    <w:p w14:paraId="4634A893" w14:textId="77777777" w:rsidR="00730379" w:rsidRDefault="001A2B51" w:rsidP="00730379">
      <w:pPr>
        <w:rPr>
          <w:rFonts w:ascii="Aptos" w:hAnsi="Aptos"/>
          <w:color w:val="013844"/>
          <w:sz w:val="22"/>
          <w:szCs w:val="22"/>
        </w:rPr>
      </w:pPr>
      <w:r w:rsidRPr="00730379">
        <w:rPr>
          <w:rFonts w:ascii="Aptos" w:hAnsi="Aptos"/>
          <w:color w:val="013844"/>
          <w:sz w:val="22"/>
          <w:szCs w:val="22"/>
        </w:rPr>
        <w:t>Assumptions typically include minimum workable connectivity, availability of nominated champions, and IT support for access and network validation. Constraints usually include clinician time for training, competing priorities, and variability in external clinician availability.</w:t>
      </w:r>
      <w:bookmarkStart w:id="1" w:name="_Toc219805095"/>
    </w:p>
    <w:p w14:paraId="1987A91D" w14:textId="77777777" w:rsidR="00730379" w:rsidRDefault="00730379">
      <w:pPr>
        <w:rPr>
          <w:rFonts w:ascii="Aptos" w:hAnsi="Aptos"/>
          <w:color w:val="013844"/>
          <w:sz w:val="22"/>
          <w:szCs w:val="22"/>
        </w:rPr>
      </w:pPr>
      <w:r>
        <w:rPr>
          <w:rFonts w:ascii="Aptos" w:hAnsi="Aptos"/>
          <w:color w:val="013844"/>
          <w:sz w:val="22"/>
          <w:szCs w:val="22"/>
        </w:rPr>
        <w:br w:type="page"/>
      </w:r>
    </w:p>
    <w:p w14:paraId="2B1BA788" w14:textId="1D02B0E4" w:rsidR="001A2B51" w:rsidRPr="00BA74CE" w:rsidRDefault="00BA74CE" w:rsidP="00730379">
      <w:pPr>
        <w:rPr>
          <w:rFonts w:ascii="Aptos" w:hAnsi="Aptos"/>
          <w:color w:val="013844"/>
          <w:sz w:val="32"/>
          <w:szCs w:val="32"/>
        </w:rPr>
      </w:pPr>
      <w:r w:rsidRPr="00BA74CE">
        <w:rPr>
          <w:rFonts w:ascii="Aptos" w:hAnsi="Aptos"/>
          <w:color w:val="013844"/>
        </w:rPr>
        <w:lastRenderedPageBreak/>
        <w:t>SECTION 2</w:t>
      </w:r>
      <w:r w:rsidRPr="00730379">
        <w:rPr>
          <w:rFonts w:ascii="Aptos" w:hAnsi="Aptos"/>
          <w:color w:val="013844"/>
          <w:sz w:val="28"/>
          <w:szCs w:val="28"/>
        </w:rPr>
        <w:t xml:space="preserve"> </w:t>
      </w:r>
      <w:r w:rsidR="00730379">
        <w:rPr>
          <w:rFonts w:ascii="Aptos" w:hAnsi="Aptos"/>
          <w:color w:val="013844"/>
          <w:sz w:val="28"/>
          <w:szCs w:val="28"/>
        </w:rPr>
        <w:br/>
      </w:r>
      <w:r w:rsidR="001A2B51" w:rsidRPr="00BA74CE">
        <w:rPr>
          <w:rFonts w:ascii="Aptos" w:hAnsi="Aptos"/>
          <w:b/>
          <w:bCs/>
          <w:color w:val="013844"/>
          <w:sz w:val="32"/>
          <w:szCs w:val="32"/>
        </w:rPr>
        <w:t>Governance, roles, cadence</w:t>
      </w:r>
      <w:bookmarkEnd w:id="1"/>
    </w:p>
    <w:p w14:paraId="5EF6DE9A"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2.1 Clinical governance ownership</w:t>
      </w:r>
    </w:p>
    <w:p w14:paraId="3FC69DC0"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This implementation sits within the organisation’s clinical governance framework. The governing body and executive leadership are accountable for ensuring systems exist to support safe, high-quality care, while clinical leaders are responsible for defining and maintaining safe clinical workflows. </w:t>
      </w:r>
    </w:p>
    <w:p w14:paraId="419EA67E"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Practical allocation for this project:</w:t>
      </w:r>
    </w:p>
    <w:p w14:paraId="7E65FE25" w14:textId="77777777" w:rsidR="001A2B51" w:rsidRPr="00730379" w:rsidRDefault="001A2B51" w:rsidP="001A2B51">
      <w:pPr>
        <w:numPr>
          <w:ilvl w:val="0"/>
          <w:numId w:val="6"/>
        </w:numPr>
        <w:rPr>
          <w:rFonts w:ascii="Aptos" w:hAnsi="Aptos"/>
          <w:color w:val="013844"/>
          <w:sz w:val="22"/>
          <w:szCs w:val="22"/>
        </w:rPr>
      </w:pPr>
      <w:r w:rsidRPr="00730379">
        <w:rPr>
          <w:rFonts w:ascii="Aptos" w:hAnsi="Aptos"/>
          <w:b/>
          <w:bCs/>
          <w:color w:val="013844"/>
          <w:sz w:val="22"/>
          <w:szCs w:val="22"/>
        </w:rPr>
        <w:t>CEO (Executive Sponsor): Accountable</w:t>
      </w:r>
      <w:r w:rsidRPr="00730379">
        <w:rPr>
          <w:rFonts w:ascii="Aptos" w:hAnsi="Aptos"/>
          <w:color w:val="013844"/>
          <w:sz w:val="22"/>
          <w:szCs w:val="22"/>
        </w:rPr>
        <w:t xml:space="preserve"> for resourcing, risk oversight, and organisational adoption.</w:t>
      </w:r>
    </w:p>
    <w:p w14:paraId="29D3D17F" w14:textId="77777777" w:rsidR="001A2B51" w:rsidRPr="00730379" w:rsidRDefault="001A2B51" w:rsidP="001A2B51">
      <w:pPr>
        <w:numPr>
          <w:ilvl w:val="0"/>
          <w:numId w:val="6"/>
        </w:numPr>
        <w:rPr>
          <w:rFonts w:ascii="Aptos" w:hAnsi="Aptos"/>
          <w:color w:val="013844"/>
          <w:sz w:val="22"/>
          <w:szCs w:val="22"/>
        </w:rPr>
      </w:pPr>
      <w:r w:rsidRPr="00730379">
        <w:rPr>
          <w:rFonts w:ascii="Aptos" w:hAnsi="Aptos"/>
          <w:b/>
          <w:bCs/>
          <w:color w:val="013844"/>
          <w:sz w:val="22"/>
          <w:szCs w:val="22"/>
        </w:rPr>
        <w:t>Head of Clinical (Clinical Lead): Responsible</w:t>
      </w:r>
      <w:r w:rsidRPr="00730379">
        <w:rPr>
          <w:rFonts w:ascii="Aptos" w:hAnsi="Aptos"/>
          <w:color w:val="013844"/>
          <w:sz w:val="22"/>
          <w:szCs w:val="22"/>
        </w:rPr>
        <w:t xml:space="preserve"> for “minimum safe workflow”, clinical appropriateness, escalation pathways, and clinical go-live sign-off.</w:t>
      </w:r>
    </w:p>
    <w:p w14:paraId="4945F7C7" w14:textId="77777777" w:rsidR="002A3775" w:rsidRPr="00730379" w:rsidRDefault="002A3775">
      <w:pPr>
        <w:rPr>
          <w:rFonts w:ascii="Aptos" w:hAnsi="Aptos"/>
          <w:color w:val="013844"/>
          <w:sz w:val="22"/>
          <w:szCs w:val="22"/>
        </w:rPr>
      </w:pPr>
    </w:p>
    <w:p w14:paraId="4E1E3E55" w14:textId="79FF4A34"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2.2 Project roles</w:t>
      </w:r>
    </w:p>
    <w:p w14:paraId="206BB46F" w14:textId="714468EE" w:rsidR="001A2B51" w:rsidRPr="00730379" w:rsidRDefault="001A2B51">
      <w:pPr>
        <w:rPr>
          <w:rFonts w:ascii="Aptos" w:hAnsi="Aptos"/>
          <w:color w:val="013844"/>
          <w:sz w:val="22"/>
          <w:szCs w:val="22"/>
        </w:rPr>
      </w:pPr>
      <w:r w:rsidRPr="00730379">
        <w:rPr>
          <w:rFonts w:ascii="Aptos" w:hAnsi="Aptos"/>
          <w:color w:val="013844"/>
          <w:sz w:val="22"/>
          <w:szCs w:val="22"/>
        </w:rPr>
        <w:t>Use the table below and populate names.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4"/>
        <w:gridCol w:w="604"/>
        <w:gridCol w:w="1224"/>
        <w:gridCol w:w="3953"/>
      </w:tblGrid>
      <w:tr w:rsidR="001A2B51" w:rsidRPr="00730379" w14:paraId="7B369E11" w14:textId="77777777">
        <w:trPr>
          <w:tblHeader/>
          <w:tblCellSpacing w:w="15" w:type="dxa"/>
        </w:trPr>
        <w:tc>
          <w:tcPr>
            <w:tcW w:w="0" w:type="auto"/>
            <w:vAlign w:val="center"/>
            <w:hideMark/>
          </w:tcPr>
          <w:p w14:paraId="75A52D7F"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Role</w:t>
            </w:r>
          </w:p>
        </w:tc>
        <w:tc>
          <w:tcPr>
            <w:tcW w:w="0" w:type="auto"/>
            <w:vAlign w:val="center"/>
            <w:hideMark/>
          </w:tcPr>
          <w:p w14:paraId="5CCF5340"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Name</w:t>
            </w:r>
          </w:p>
        </w:tc>
        <w:tc>
          <w:tcPr>
            <w:tcW w:w="0" w:type="auto"/>
            <w:vAlign w:val="center"/>
            <w:hideMark/>
          </w:tcPr>
          <w:p w14:paraId="18B9B0AB"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Organisation</w:t>
            </w:r>
          </w:p>
        </w:tc>
        <w:tc>
          <w:tcPr>
            <w:tcW w:w="0" w:type="auto"/>
            <w:vAlign w:val="center"/>
            <w:hideMark/>
          </w:tcPr>
          <w:p w14:paraId="26BB519C"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Responsibility summary</w:t>
            </w:r>
          </w:p>
        </w:tc>
      </w:tr>
      <w:tr w:rsidR="001A2B51" w:rsidRPr="00730379" w14:paraId="7BF4B8F5" w14:textId="77777777">
        <w:trPr>
          <w:tblCellSpacing w:w="15" w:type="dxa"/>
        </w:trPr>
        <w:tc>
          <w:tcPr>
            <w:tcW w:w="0" w:type="auto"/>
            <w:vAlign w:val="center"/>
            <w:hideMark/>
          </w:tcPr>
          <w:p w14:paraId="795AEE8E"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Executive Sponsor (CEO)</w:t>
            </w:r>
          </w:p>
        </w:tc>
        <w:tc>
          <w:tcPr>
            <w:tcW w:w="0" w:type="auto"/>
            <w:vAlign w:val="center"/>
            <w:hideMark/>
          </w:tcPr>
          <w:p w14:paraId="307EAB82" w14:textId="77777777" w:rsidR="001A2B51" w:rsidRPr="00730379" w:rsidRDefault="001A2B51" w:rsidP="001A2B51">
            <w:pPr>
              <w:rPr>
                <w:rFonts w:ascii="Aptos" w:hAnsi="Aptos"/>
                <w:color w:val="013844"/>
                <w:sz w:val="20"/>
                <w:szCs w:val="20"/>
              </w:rPr>
            </w:pPr>
          </w:p>
        </w:tc>
        <w:tc>
          <w:tcPr>
            <w:tcW w:w="0" w:type="auto"/>
            <w:vAlign w:val="center"/>
            <w:hideMark/>
          </w:tcPr>
          <w:p w14:paraId="06865FB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Customer</w:t>
            </w:r>
          </w:p>
        </w:tc>
        <w:tc>
          <w:tcPr>
            <w:tcW w:w="0" w:type="auto"/>
            <w:vAlign w:val="center"/>
            <w:hideMark/>
          </w:tcPr>
          <w:p w14:paraId="6C11A506"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Overall accountability, decision escalation</w:t>
            </w:r>
          </w:p>
        </w:tc>
      </w:tr>
      <w:tr w:rsidR="001A2B51" w:rsidRPr="00730379" w14:paraId="59D4C82D" w14:textId="77777777">
        <w:trPr>
          <w:tblCellSpacing w:w="15" w:type="dxa"/>
        </w:trPr>
        <w:tc>
          <w:tcPr>
            <w:tcW w:w="0" w:type="auto"/>
            <w:vAlign w:val="center"/>
            <w:hideMark/>
          </w:tcPr>
          <w:p w14:paraId="766890DA"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2489F328" w14:textId="77777777" w:rsidR="001A2B51" w:rsidRPr="00730379" w:rsidRDefault="001A2B51" w:rsidP="001A2B51">
            <w:pPr>
              <w:rPr>
                <w:rFonts w:ascii="Aptos" w:hAnsi="Aptos"/>
                <w:color w:val="013844"/>
                <w:sz w:val="20"/>
                <w:szCs w:val="20"/>
              </w:rPr>
            </w:pPr>
          </w:p>
        </w:tc>
        <w:tc>
          <w:tcPr>
            <w:tcW w:w="0" w:type="auto"/>
            <w:vAlign w:val="center"/>
            <w:hideMark/>
          </w:tcPr>
          <w:p w14:paraId="5B421807"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Customer</w:t>
            </w:r>
          </w:p>
        </w:tc>
        <w:tc>
          <w:tcPr>
            <w:tcW w:w="0" w:type="auto"/>
            <w:vAlign w:val="center"/>
            <w:hideMark/>
          </w:tcPr>
          <w:p w14:paraId="11A09DDC"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Day-to-day delivery, RAID log, coordination</w:t>
            </w:r>
          </w:p>
        </w:tc>
      </w:tr>
      <w:tr w:rsidR="001A2B51" w:rsidRPr="00730379" w14:paraId="688ADEBC" w14:textId="77777777">
        <w:trPr>
          <w:tblCellSpacing w:w="15" w:type="dxa"/>
        </w:trPr>
        <w:tc>
          <w:tcPr>
            <w:tcW w:w="0" w:type="auto"/>
            <w:vAlign w:val="center"/>
            <w:hideMark/>
          </w:tcPr>
          <w:p w14:paraId="53105C9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Clinical Lead (Head of Clinical)</w:t>
            </w:r>
          </w:p>
        </w:tc>
        <w:tc>
          <w:tcPr>
            <w:tcW w:w="0" w:type="auto"/>
            <w:vAlign w:val="center"/>
            <w:hideMark/>
          </w:tcPr>
          <w:p w14:paraId="35BCB219" w14:textId="77777777" w:rsidR="001A2B51" w:rsidRPr="00730379" w:rsidRDefault="001A2B51" w:rsidP="001A2B51">
            <w:pPr>
              <w:rPr>
                <w:rFonts w:ascii="Aptos" w:hAnsi="Aptos"/>
                <w:color w:val="013844"/>
                <w:sz w:val="20"/>
                <w:szCs w:val="20"/>
              </w:rPr>
            </w:pPr>
          </w:p>
        </w:tc>
        <w:tc>
          <w:tcPr>
            <w:tcW w:w="0" w:type="auto"/>
            <w:vAlign w:val="center"/>
            <w:hideMark/>
          </w:tcPr>
          <w:p w14:paraId="2309272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Customer</w:t>
            </w:r>
          </w:p>
        </w:tc>
        <w:tc>
          <w:tcPr>
            <w:tcW w:w="0" w:type="auto"/>
            <w:vAlign w:val="center"/>
            <w:hideMark/>
          </w:tcPr>
          <w:p w14:paraId="312EB963"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Workflow safety, escalation, clinical sign-off</w:t>
            </w:r>
          </w:p>
        </w:tc>
      </w:tr>
      <w:tr w:rsidR="001A2B51" w:rsidRPr="00730379" w14:paraId="0FA1E44C" w14:textId="77777777">
        <w:trPr>
          <w:tblCellSpacing w:w="15" w:type="dxa"/>
        </w:trPr>
        <w:tc>
          <w:tcPr>
            <w:tcW w:w="0" w:type="auto"/>
            <w:vAlign w:val="center"/>
            <w:hideMark/>
          </w:tcPr>
          <w:p w14:paraId="328FAEFC"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IT Lead</w:t>
            </w:r>
          </w:p>
        </w:tc>
        <w:tc>
          <w:tcPr>
            <w:tcW w:w="0" w:type="auto"/>
            <w:vAlign w:val="center"/>
            <w:hideMark/>
          </w:tcPr>
          <w:p w14:paraId="4D38C779" w14:textId="77777777" w:rsidR="001A2B51" w:rsidRPr="00730379" w:rsidRDefault="001A2B51" w:rsidP="001A2B51">
            <w:pPr>
              <w:rPr>
                <w:rFonts w:ascii="Aptos" w:hAnsi="Aptos"/>
                <w:color w:val="013844"/>
                <w:sz w:val="20"/>
                <w:szCs w:val="20"/>
              </w:rPr>
            </w:pPr>
          </w:p>
        </w:tc>
        <w:tc>
          <w:tcPr>
            <w:tcW w:w="0" w:type="auto"/>
            <w:vAlign w:val="center"/>
            <w:hideMark/>
          </w:tcPr>
          <w:p w14:paraId="16494334"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Customer</w:t>
            </w:r>
          </w:p>
        </w:tc>
        <w:tc>
          <w:tcPr>
            <w:tcW w:w="0" w:type="auto"/>
            <w:vAlign w:val="center"/>
            <w:hideMark/>
          </w:tcPr>
          <w:p w14:paraId="13A3D7FE"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Network, device access, identity and security</w:t>
            </w:r>
          </w:p>
        </w:tc>
      </w:tr>
      <w:tr w:rsidR="001A2B51" w:rsidRPr="00730379" w14:paraId="49E14393" w14:textId="77777777">
        <w:trPr>
          <w:tblCellSpacing w:w="15" w:type="dxa"/>
        </w:trPr>
        <w:tc>
          <w:tcPr>
            <w:tcW w:w="0" w:type="auto"/>
            <w:vAlign w:val="center"/>
            <w:hideMark/>
          </w:tcPr>
          <w:p w14:paraId="50BFF3DA"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Privacy Officer (or delegate)</w:t>
            </w:r>
          </w:p>
        </w:tc>
        <w:tc>
          <w:tcPr>
            <w:tcW w:w="0" w:type="auto"/>
            <w:vAlign w:val="center"/>
            <w:hideMark/>
          </w:tcPr>
          <w:p w14:paraId="6EFACD88" w14:textId="77777777" w:rsidR="001A2B51" w:rsidRPr="00730379" w:rsidRDefault="001A2B51" w:rsidP="001A2B51">
            <w:pPr>
              <w:rPr>
                <w:rFonts w:ascii="Aptos" w:hAnsi="Aptos"/>
                <w:color w:val="013844"/>
                <w:sz w:val="20"/>
                <w:szCs w:val="20"/>
              </w:rPr>
            </w:pPr>
          </w:p>
        </w:tc>
        <w:tc>
          <w:tcPr>
            <w:tcW w:w="0" w:type="auto"/>
            <w:vAlign w:val="center"/>
            <w:hideMark/>
          </w:tcPr>
          <w:p w14:paraId="26ABC45B"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Customer</w:t>
            </w:r>
          </w:p>
        </w:tc>
        <w:tc>
          <w:tcPr>
            <w:tcW w:w="0" w:type="auto"/>
            <w:vAlign w:val="center"/>
            <w:hideMark/>
          </w:tcPr>
          <w:p w14:paraId="2698AAE8"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Privacy/consent and information handling</w:t>
            </w:r>
          </w:p>
        </w:tc>
      </w:tr>
      <w:tr w:rsidR="001A2B51" w:rsidRPr="00730379" w14:paraId="397C0239" w14:textId="77777777">
        <w:trPr>
          <w:tblCellSpacing w:w="15" w:type="dxa"/>
        </w:trPr>
        <w:tc>
          <w:tcPr>
            <w:tcW w:w="0" w:type="auto"/>
            <w:vAlign w:val="center"/>
            <w:hideMark/>
          </w:tcPr>
          <w:p w14:paraId="61EA2834"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Site Champions (min 2)</w:t>
            </w:r>
          </w:p>
        </w:tc>
        <w:tc>
          <w:tcPr>
            <w:tcW w:w="0" w:type="auto"/>
            <w:vAlign w:val="center"/>
            <w:hideMark/>
          </w:tcPr>
          <w:p w14:paraId="6F154FDE" w14:textId="77777777" w:rsidR="001A2B51" w:rsidRPr="00730379" w:rsidRDefault="001A2B51" w:rsidP="001A2B51">
            <w:pPr>
              <w:rPr>
                <w:rFonts w:ascii="Aptos" w:hAnsi="Aptos"/>
                <w:color w:val="013844"/>
                <w:sz w:val="20"/>
                <w:szCs w:val="20"/>
              </w:rPr>
            </w:pPr>
          </w:p>
        </w:tc>
        <w:tc>
          <w:tcPr>
            <w:tcW w:w="0" w:type="auto"/>
            <w:vAlign w:val="center"/>
            <w:hideMark/>
          </w:tcPr>
          <w:p w14:paraId="1FA5F6F4"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Customer</w:t>
            </w:r>
          </w:p>
        </w:tc>
        <w:tc>
          <w:tcPr>
            <w:tcW w:w="0" w:type="auto"/>
            <w:vAlign w:val="center"/>
            <w:hideMark/>
          </w:tcPr>
          <w:p w14:paraId="3CFFB97F"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Local change leadership, peer support</w:t>
            </w:r>
          </w:p>
        </w:tc>
      </w:tr>
      <w:tr w:rsidR="001A2B51" w:rsidRPr="00730379" w14:paraId="77626D83" w14:textId="77777777">
        <w:trPr>
          <w:tblCellSpacing w:w="15" w:type="dxa"/>
        </w:trPr>
        <w:tc>
          <w:tcPr>
            <w:tcW w:w="0" w:type="auto"/>
            <w:vAlign w:val="center"/>
            <w:hideMark/>
          </w:tcPr>
          <w:p w14:paraId="656E0A5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Visionflex Implementation Lead</w:t>
            </w:r>
          </w:p>
        </w:tc>
        <w:tc>
          <w:tcPr>
            <w:tcW w:w="0" w:type="auto"/>
            <w:vAlign w:val="center"/>
            <w:hideMark/>
          </w:tcPr>
          <w:p w14:paraId="498E9573" w14:textId="77777777" w:rsidR="001A2B51" w:rsidRPr="00730379" w:rsidRDefault="001A2B51" w:rsidP="001A2B51">
            <w:pPr>
              <w:rPr>
                <w:rFonts w:ascii="Aptos" w:hAnsi="Aptos"/>
                <w:color w:val="013844"/>
                <w:sz w:val="20"/>
                <w:szCs w:val="20"/>
              </w:rPr>
            </w:pPr>
          </w:p>
        </w:tc>
        <w:tc>
          <w:tcPr>
            <w:tcW w:w="0" w:type="auto"/>
            <w:vAlign w:val="center"/>
            <w:hideMark/>
          </w:tcPr>
          <w:p w14:paraId="7E08365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Visionflex</w:t>
            </w:r>
          </w:p>
        </w:tc>
        <w:tc>
          <w:tcPr>
            <w:tcW w:w="0" w:type="auto"/>
            <w:vAlign w:val="center"/>
            <w:hideMark/>
          </w:tcPr>
          <w:p w14:paraId="1C189D97"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Vendor delivery, enablement, issue triage</w:t>
            </w:r>
          </w:p>
        </w:tc>
      </w:tr>
    </w:tbl>
    <w:p w14:paraId="14671954" w14:textId="77777777" w:rsidR="001A2B51" w:rsidRPr="00730379" w:rsidRDefault="001A2B51">
      <w:pPr>
        <w:rPr>
          <w:rFonts w:ascii="Aptos" w:hAnsi="Aptos"/>
          <w:color w:val="013844"/>
          <w:sz w:val="22"/>
          <w:szCs w:val="22"/>
        </w:rPr>
      </w:pPr>
    </w:p>
    <w:p w14:paraId="0D26EFFF"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2.3 Meeting cadence</w:t>
      </w:r>
    </w:p>
    <w:p w14:paraId="29D1B5B2" w14:textId="77777777" w:rsidR="001A2B51" w:rsidRPr="00730379" w:rsidRDefault="001A2B51" w:rsidP="001A2B51">
      <w:pPr>
        <w:numPr>
          <w:ilvl w:val="0"/>
          <w:numId w:val="7"/>
        </w:numPr>
        <w:rPr>
          <w:rFonts w:ascii="Aptos" w:hAnsi="Aptos"/>
          <w:color w:val="013844"/>
          <w:sz w:val="22"/>
          <w:szCs w:val="22"/>
        </w:rPr>
      </w:pPr>
      <w:r w:rsidRPr="00730379">
        <w:rPr>
          <w:rFonts w:ascii="Aptos" w:hAnsi="Aptos"/>
          <w:b/>
          <w:bCs/>
          <w:color w:val="013844"/>
          <w:sz w:val="22"/>
          <w:szCs w:val="22"/>
        </w:rPr>
        <w:t>Weekly implementation huddle (30 mins):</w:t>
      </w:r>
      <w:r w:rsidRPr="00730379">
        <w:rPr>
          <w:rFonts w:ascii="Aptos" w:hAnsi="Aptos"/>
          <w:color w:val="013844"/>
          <w:sz w:val="22"/>
          <w:szCs w:val="22"/>
        </w:rPr>
        <w:t xml:space="preserve"> Project Lead + Clinical Lead + IT Lead + Visionflex</w:t>
      </w:r>
    </w:p>
    <w:p w14:paraId="6D344002" w14:textId="77777777" w:rsidR="001A2B51" w:rsidRPr="00730379" w:rsidRDefault="001A2B51" w:rsidP="001A2B51">
      <w:pPr>
        <w:numPr>
          <w:ilvl w:val="0"/>
          <w:numId w:val="7"/>
        </w:numPr>
        <w:rPr>
          <w:rFonts w:ascii="Aptos" w:hAnsi="Aptos"/>
          <w:color w:val="013844"/>
          <w:sz w:val="22"/>
          <w:szCs w:val="22"/>
        </w:rPr>
      </w:pPr>
      <w:r w:rsidRPr="00730379">
        <w:rPr>
          <w:rFonts w:ascii="Aptos" w:hAnsi="Aptos"/>
          <w:b/>
          <w:bCs/>
          <w:color w:val="013844"/>
          <w:sz w:val="22"/>
          <w:szCs w:val="22"/>
        </w:rPr>
        <w:t>Go-live readiness checkpoint (45 mins):</w:t>
      </w:r>
      <w:r w:rsidRPr="00730379">
        <w:rPr>
          <w:rFonts w:ascii="Aptos" w:hAnsi="Aptos"/>
          <w:color w:val="013844"/>
          <w:sz w:val="22"/>
          <w:szCs w:val="22"/>
        </w:rPr>
        <w:t xml:space="preserve"> end of Deploy/Train phase</w:t>
      </w:r>
    </w:p>
    <w:p w14:paraId="08887E79" w14:textId="77777777" w:rsidR="001A2B51" w:rsidRPr="00730379" w:rsidRDefault="001A2B51" w:rsidP="001A2B51">
      <w:pPr>
        <w:numPr>
          <w:ilvl w:val="0"/>
          <w:numId w:val="7"/>
        </w:numPr>
        <w:rPr>
          <w:rFonts w:ascii="Aptos" w:hAnsi="Aptos"/>
          <w:color w:val="013844"/>
          <w:sz w:val="22"/>
          <w:szCs w:val="22"/>
        </w:rPr>
      </w:pPr>
      <w:r w:rsidRPr="00730379">
        <w:rPr>
          <w:rFonts w:ascii="Aptos" w:hAnsi="Aptos"/>
          <w:b/>
          <w:bCs/>
          <w:color w:val="013844"/>
          <w:sz w:val="22"/>
          <w:szCs w:val="22"/>
        </w:rPr>
        <w:t>Hypercare check-ins (15 mins):</w:t>
      </w:r>
      <w:r w:rsidRPr="00730379">
        <w:rPr>
          <w:rFonts w:ascii="Aptos" w:hAnsi="Aptos"/>
          <w:color w:val="013844"/>
          <w:sz w:val="22"/>
          <w:szCs w:val="22"/>
        </w:rPr>
        <w:t xml:space="preserve"> daily for first week if high volume, otherwise twice weekly</w:t>
      </w:r>
    </w:p>
    <w:p w14:paraId="7768913D" w14:textId="77777777" w:rsidR="001A2B51" w:rsidRPr="00730379" w:rsidRDefault="001A2B51" w:rsidP="001A2B51">
      <w:pPr>
        <w:numPr>
          <w:ilvl w:val="0"/>
          <w:numId w:val="7"/>
        </w:numPr>
        <w:rPr>
          <w:rFonts w:ascii="Aptos" w:hAnsi="Aptos"/>
          <w:color w:val="013844"/>
          <w:sz w:val="22"/>
          <w:szCs w:val="22"/>
        </w:rPr>
      </w:pPr>
      <w:r w:rsidRPr="00730379">
        <w:rPr>
          <w:rFonts w:ascii="Aptos" w:hAnsi="Aptos"/>
          <w:b/>
          <w:bCs/>
          <w:color w:val="013844"/>
          <w:sz w:val="22"/>
          <w:szCs w:val="22"/>
        </w:rPr>
        <w:lastRenderedPageBreak/>
        <w:t>30-day review (30 mins):</w:t>
      </w:r>
      <w:r w:rsidRPr="00730379">
        <w:rPr>
          <w:rFonts w:ascii="Aptos" w:hAnsi="Aptos"/>
          <w:color w:val="013844"/>
          <w:sz w:val="22"/>
          <w:szCs w:val="22"/>
        </w:rPr>
        <w:t xml:space="preserve"> adoption, issues, workflow optimisation</w:t>
      </w:r>
    </w:p>
    <w:p w14:paraId="0198D497" w14:textId="77777777" w:rsidR="001A2B51" w:rsidRPr="00730379" w:rsidRDefault="001A2B51" w:rsidP="001A2B51">
      <w:pPr>
        <w:numPr>
          <w:ilvl w:val="0"/>
          <w:numId w:val="7"/>
        </w:numPr>
        <w:rPr>
          <w:rFonts w:ascii="Aptos" w:hAnsi="Aptos"/>
          <w:color w:val="013844"/>
          <w:sz w:val="22"/>
          <w:szCs w:val="22"/>
        </w:rPr>
      </w:pPr>
      <w:r w:rsidRPr="00730379">
        <w:rPr>
          <w:rFonts w:ascii="Aptos" w:hAnsi="Aptos"/>
          <w:b/>
          <w:bCs/>
          <w:color w:val="013844"/>
          <w:sz w:val="22"/>
          <w:szCs w:val="22"/>
        </w:rPr>
        <w:t>90-day review (45 mins):</w:t>
      </w:r>
      <w:r w:rsidRPr="00730379">
        <w:rPr>
          <w:rFonts w:ascii="Aptos" w:hAnsi="Aptos"/>
          <w:color w:val="013844"/>
          <w:sz w:val="22"/>
          <w:szCs w:val="22"/>
        </w:rPr>
        <w:t xml:space="preserve"> outcomes, BAU embed, next use cases</w:t>
      </w:r>
    </w:p>
    <w:p w14:paraId="5F20490B"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(Embedding review and improvement into BAU aligns with established virtual care safety and quality guidance.) </w:t>
      </w:r>
    </w:p>
    <w:p w14:paraId="749F20EE"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2.4 Decision rules</w:t>
      </w:r>
    </w:p>
    <w:p w14:paraId="17BF5262"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A decision is required when scope changes, clinical workflow changes, privacy risk changes, or go-live readiness is in question. Clinical safety decisions sit with the Clinical Lead, technical readiness decisions sit with the IT Lead, and resourcing decisions sit with the Executive Sponsor. </w:t>
      </w:r>
    </w:p>
    <w:p w14:paraId="21C84043" w14:textId="019E0CDB" w:rsidR="001A2B51" w:rsidRPr="00730379" w:rsidRDefault="001A2B51" w:rsidP="001A2B51">
      <w:pPr>
        <w:rPr>
          <w:rFonts w:ascii="Aptos" w:hAnsi="Aptos"/>
          <w:color w:val="013844"/>
          <w:sz w:val="22"/>
          <w:szCs w:val="22"/>
        </w:rPr>
      </w:pPr>
    </w:p>
    <w:p w14:paraId="1A5608D5" w14:textId="7E9EA337" w:rsidR="001A2B51" w:rsidRPr="00BA74CE" w:rsidRDefault="00BA74CE" w:rsidP="00BA74CE">
      <w:pPr>
        <w:rPr>
          <w:rFonts w:ascii="Aptos" w:eastAsiaTheme="majorEastAsia" w:hAnsi="Aptos" w:cstheme="majorBidi"/>
          <w:color w:val="013844"/>
          <w:sz w:val="28"/>
          <w:szCs w:val="28"/>
        </w:rPr>
      </w:pPr>
      <w:bookmarkStart w:id="2" w:name="_Toc219805096"/>
      <w:r w:rsidRPr="00BA74CE">
        <w:rPr>
          <w:rFonts w:ascii="Aptos" w:hAnsi="Aptos"/>
          <w:color w:val="013844"/>
        </w:rPr>
        <w:t>SECTION 3</w:t>
      </w:r>
      <w:r>
        <w:rPr>
          <w:rFonts w:ascii="Aptos" w:hAnsi="Aptos"/>
          <w:color w:val="013844"/>
          <w:sz w:val="28"/>
          <w:szCs w:val="28"/>
        </w:rPr>
        <w:br/>
      </w:r>
      <w:r w:rsidR="001A2B51" w:rsidRPr="00BA74CE">
        <w:rPr>
          <w:rFonts w:ascii="Aptos" w:hAnsi="Aptos"/>
          <w:b/>
          <w:bCs/>
          <w:color w:val="013844"/>
          <w:sz w:val="32"/>
          <w:szCs w:val="32"/>
        </w:rPr>
        <w:t>Readiness assessment and discovery</w:t>
      </w:r>
      <w:bookmarkEnd w:id="2"/>
    </w:p>
    <w:p w14:paraId="719D9996"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3.1 Current state snapshot</w:t>
      </w:r>
    </w:p>
    <w:p w14:paraId="4619F0E6"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Document how things work today in two short paragraphs:</w:t>
      </w:r>
    </w:p>
    <w:p w14:paraId="6C3B867D" w14:textId="77777777" w:rsidR="001A2B51" w:rsidRPr="00730379" w:rsidRDefault="001A2B51" w:rsidP="001A2B51">
      <w:pPr>
        <w:numPr>
          <w:ilvl w:val="0"/>
          <w:numId w:val="8"/>
        </w:numPr>
        <w:rPr>
          <w:rFonts w:ascii="Aptos" w:hAnsi="Aptos"/>
          <w:color w:val="013844"/>
          <w:sz w:val="22"/>
          <w:szCs w:val="22"/>
        </w:rPr>
      </w:pPr>
      <w:r w:rsidRPr="00730379">
        <w:rPr>
          <w:rFonts w:ascii="Aptos" w:hAnsi="Aptos"/>
          <w:color w:val="013844"/>
          <w:sz w:val="22"/>
          <w:szCs w:val="22"/>
        </w:rPr>
        <w:t>How appointments and consults are booked, supported, and documented</w:t>
      </w:r>
    </w:p>
    <w:p w14:paraId="42A34892" w14:textId="77777777" w:rsidR="001A2B51" w:rsidRPr="00730379" w:rsidRDefault="001A2B51" w:rsidP="001A2B51">
      <w:pPr>
        <w:numPr>
          <w:ilvl w:val="0"/>
          <w:numId w:val="8"/>
        </w:numPr>
        <w:rPr>
          <w:rFonts w:ascii="Aptos" w:hAnsi="Aptos"/>
          <w:color w:val="013844"/>
          <w:sz w:val="22"/>
          <w:szCs w:val="22"/>
        </w:rPr>
      </w:pPr>
      <w:r w:rsidRPr="00730379">
        <w:rPr>
          <w:rFonts w:ascii="Aptos" w:hAnsi="Aptos"/>
          <w:color w:val="013844"/>
          <w:sz w:val="22"/>
          <w:szCs w:val="22"/>
        </w:rPr>
        <w:t>Who is present onsite during consults and how escalation is handled today</w:t>
      </w:r>
    </w:p>
    <w:p w14:paraId="0D23D6E5"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This becomes the baseline for measuring improvement and for training realism.</w:t>
      </w:r>
    </w:p>
    <w:p w14:paraId="32F7B81A"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3.2 Readiness domains and sign-off</w:t>
      </w:r>
    </w:p>
    <w:p w14:paraId="645E9E07"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Readiness is assessed across five domains and recorded in a short scorecard.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62"/>
        <w:gridCol w:w="3997"/>
        <w:gridCol w:w="1284"/>
        <w:gridCol w:w="1317"/>
        <w:gridCol w:w="1421"/>
      </w:tblGrid>
      <w:tr w:rsidR="001A2B51" w:rsidRPr="00730379" w14:paraId="5E368C25" w14:textId="77777777">
        <w:trPr>
          <w:tblHeader/>
          <w:tblCellSpacing w:w="15" w:type="dxa"/>
        </w:trPr>
        <w:tc>
          <w:tcPr>
            <w:tcW w:w="0" w:type="auto"/>
            <w:vAlign w:val="center"/>
            <w:hideMark/>
          </w:tcPr>
          <w:p w14:paraId="1CE1518E"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Domain</w:t>
            </w:r>
          </w:p>
        </w:tc>
        <w:tc>
          <w:tcPr>
            <w:tcW w:w="0" w:type="auto"/>
            <w:vAlign w:val="center"/>
            <w:hideMark/>
          </w:tcPr>
          <w:p w14:paraId="0B02745A"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What “ready” looks like</w:t>
            </w:r>
          </w:p>
        </w:tc>
        <w:tc>
          <w:tcPr>
            <w:tcW w:w="0" w:type="auto"/>
            <w:vAlign w:val="center"/>
            <w:hideMark/>
          </w:tcPr>
          <w:p w14:paraId="78366A46"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Owner</w:t>
            </w:r>
          </w:p>
        </w:tc>
        <w:tc>
          <w:tcPr>
            <w:tcW w:w="0" w:type="auto"/>
            <w:vAlign w:val="center"/>
            <w:hideMark/>
          </w:tcPr>
          <w:p w14:paraId="5A97E781"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Status (R/A/G)</w:t>
            </w:r>
          </w:p>
        </w:tc>
        <w:tc>
          <w:tcPr>
            <w:tcW w:w="0" w:type="auto"/>
            <w:vAlign w:val="center"/>
            <w:hideMark/>
          </w:tcPr>
          <w:p w14:paraId="1099253F"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Notes / actions</w:t>
            </w:r>
          </w:p>
        </w:tc>
      </w:tr>
      <w:tr w:rsidR="001A2B51" w:rsidRPr="00730379" w14:paraId="51747BBC" w14:textId="77777777">
        <w:trPr>
          <w:tblCellSpacing w:w="15" w:type="dxa"/>
        </w:trPr>
        <w:tc>
          <w:tcPr>
            <w:tcW w:w="0" w:type="auto"/>
            <w:vAlign w:val="center"/>
            <w:hideMark/>
          </w:tcPr>
          <w:p w14:paraId="6DAB525D"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Clinical workflow</w:t>
            </w:r>
          </w:p>
        </w:tc>
        <w:tc>
          <w:tcPr>
            <w:tcW w:w="0" w:type="auto"/>
            <w:vAlign w:val="center"/>
            <w:hideMark/>
          </w:tcPr>
          <w:p w14:paraId="60839B57"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Phase 1 workflow agreed, escalation defined</w:t>
            </w:r>
          </w:p>
        </w:tc>
        <w:tc>
          <w:tcPr>
            <w:tcW w:w="0" w:type="auto"/>
            <w:vAlign w:val="center"/>
            <w:hideMark/>
          </w:tcPr>
          <w:p w14:paraId="33EB45A1"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Clinical Lead</w:t>
            </w:r>
          </w:p>
        </w:tc>
        <w:tc>
          <w:tcPr>
            <w:tcW w:w="0" w:type="auto"/>
            <w:vAlign w:val="center"/>
            <w:hideMark/>
          </w:tcPr>
          <w:p w14:paraId="63DAEFFA" w14:textId="77777777" w:rsidR="001A2B51" w:rsidRPr="00730379" w:rsidRDefault="001A2B51" w:rsidP="001A2B51">
            <w:pPr>
              <w:rPr>
                <w:rFonts w:ascii="Aptos" w:hAnsi="Aptos"/>
                <w:color w:val="013844"/>
                <w:sz w:val="20"/>
                <w:szCs w:val="20"/>
              </w:rPr>
            </w:pPr>
          </w:p>
        </w:tc>
        <w:tc>
          <w:tcPr>
            <w:tcW w:w="0" w:type="auto"/>
            <w:vAlign w:val="center"/>
            <w:hideMark/>
          </w:tcPr>
          <w:p w14:paraId="61353664" w14:textId="77777777" w:rsidR="001A2B51" w:rsidRPr="00730379" w:rsidRDefault="001A2B51" w:rsidP="001A2B51">
            <w:pPr>
              <w:rPr>
                <w:rFonts w:ascii="Aptos" w:hAnsi="Aptos"/>
                <w:color w:val="013844"/>
                <w:sz w:val="20"/>
                <w:szCs w:val="20"/>
              </w:rPr>
            </w:pPr>
          </w:p>
        </w:tc>
      </w:tr>
      <w:tr w:rsidR="001A2B51" w:rsidRPr="00730379" w14:paraId="72BA8030" w14:textId="77777777">
        <w:trPr>
          <w:tblCellSpacing w:w="15" w:type="dxa"/>
        </w:trPr>
        <w:tc>
          <w:tcPr>
            <w:tcW w:w="0" w:type="auto"/>
            <w:vAlign w:val="center"/>
            <w:hideMark/>
          </w:tcPr>
          <w:p w14:paraId="7CBBBA3A"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People and change</w:t>
            </w:r>
          </w:p>
        </w:tc>
        <w:tc>
          <w:tcPr>
            <w:tcW w:w="0" w:type="auto"/>
            <w:vAlign w:val="center"/>
            <w:hideMark/>
          </w:tcPr>
          <w:p w14:paraId="48E44898"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Champions nominated, training time allocated</w:t>
            </w:r>
          </w:p>
        </w:tc>
        <w:tc>
          <w:tcPr>
            <w:tcW w:w="0" w:type="auto"/>
            <w:vAlign w:val="center"/>
            <w:hideMark/>
          </w:tcPr>
          <w:p w14:paraId="78C1BD11"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3B7F2AD0" w14:textId="77777777" w:rsidR="001A2B51" w:rsidRPr="00730379" w:rsidRDefault="001A2B51" w:rsidP="001A2B51">
            <w:pPr>
              <w:rPr>
                <w:rFonts w:ascii="Aptos" w:hAnsi="Aptos"/>
                <w:color w:val="013844"/>
                <w:sz w:val="20"/>
                <w:szCs w:val="20"/>
              </w:rPr>
            </w:pPr>
          </w:p>
        </w:tc>
        <w:tc>
          <w:tcPr>
            <w:tcW w:w="0" w:type="auto"/>
            <w:vAlign w:val="center"/>
            <w:hideMark/>
          </w:tcPr>
          <w:p w14:paraId="189A4E4C" w14:textId="77777777" w:rsidR="001A2B51" w:rsidRPr="00730379" w:rsidRDefault="001A2B51" w:rsidP="001A2B51">
            <w:pPr>
              <w:rPr>
                <w:rFonts w:ascii="Aptos" w:hAnsi="Aptos"/>
                <w:color w:val="013844"/>
                <w:sz w:val="20"/>
                <w:szCs w:val="20"/>
              </w:rPr>
            </w:pPr>
          </w:p>
        </w:tc>
      </w:tr>
      <w:tr w:rsidR="001A2B51" w:rsidRPr="00730379" w14:paraId="30B01E5B" w14:textId="77777777">
        <w:trPr>
          <w:tblCellSpacing w:w="15" w:type="dxa"/>
        </w:trPr>
        <w:tc>
          <w:tcPr>
            <w:tcW w:w="0" w:type="auto"/>
            <w:vAlign w:val="center"/>
            <w:hideMark/>
          </w:tcPr>
          <w:p w14:paraId="77D4B5AF"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Technical</w:t>
            </w:r>
          </w:p>
        </w:tc>
        <w:tc>
          <w:tcPr>
            <w:tcW w:w="0" w:type="auto"/>
            <w:vAlign w:val="center"/>
            <w:hideMark/>
          </w:tcPr>
          <w:p w14:paraId="364AEB58"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Network validated, access and accounts set</w:t>
            </w:r>
          </w:p>
        </w:tc>
        <w:tc>
          <w:tcPr>
            <w:tcW w:w="0" w:type="auto"/>
            <w:vAlign w:val="center"/>
            <w:hideMark/>
          </w:tcPr>
          <w:p w14:paraId="733350AE"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IT Lead</w:t>
            </w:r>
          </w:p>
        </w:tc>
        <w:tc>
          <w:tcPr>
            <w:tcW w:w="0" w:type="auto"/>
            <w:vAlign w:val="center"/>
            <w:hideMark/>
          </w:tcPr>
          <w:p w14:paraId="12AB0884" w14:textId="77777777" w:rsidR="001A2B51" w:rsidRPr="00730379" w:rsidRDefault="001A2B51" w:rsidP="001A2B51">
            <w:pPr>
              <w:rPr>
                <w:rFonts w:ascii="Aptos" w:hAnsi="Aptos"/>
                <w:color w:val="013844"/>
                <w:sz w:val="20"/>
                <w:szCs w:val="20"/>
              </w:rPr>
            </w:pPr>
          </w:p>
        </w:tc>
        <w:tc>
          <w:tcPr>
            <w:tcW w:w="0" w:type="auto"/>
            <w:vAlign w:val="center"/>
            <w:hideMark/>
          </w:tcPr>
          <w:p w14:paraId="4672799C" w14:textId="77777777" w:rsidR="001A2B51" w:rsidRPr="00730379" w:rsidRDefault="001A2B51" w:rsidP="001A2B51">
            <w:pPr>
              <w:rPr>
                <w:rFonts w:ascii="Aptos" w:hAnsi="Aptos"/>
                <w:color w:val="013844"/>
                <w:sz w:val="20"/>
                <w:szCs w:val="20"/>
              </w:rPr>
            </w:pPr>
          </w:p>
        </w:tc>
      </w:tr>
      <w:tr w:rsidR="001A2B51" w:rsidRPr="00730379" w14:paraId="7B67A28E" w14:textId="77777777">
        <w:trPr>
          <w:tblCellSpacing w:w="15" w:type="dxa"/>
        </w:trPr>
        <w:tc>
          <w:tcPr>
            <w:tcW w:w="0" w:type="auto"/>
            <w:vAlign w:val="center"/>
            <w:hideMark/>
          </w:tcPr>
          <w:p w14:paraId="6F8943E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Privacy and consent</w:t>
            </w:r>
          </w:p>
        </w:tc>
        <w:tc>
          <w:tcPr>
            <w:tcW w:w="0" w:type="auto"/>
            <w:vAlign w:val="center"/>
            <w:hideMark/>
          </w:tcPr>
          <w:p w14:paraId="7FFDD8C4"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Consent and information handling documented</w:t>
            </w:r>
          </w:p>
        </w:tc>
        <w:tc>
          <w:tcPr>
            <w:tcW w:w="0" w:type="auto"/>
            <w:vAlign w:val="center"/>
            <w:hideMark/>
          </w:tcPr>
          <w:p w14:paraId="4871C2BA"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Privacy Officer</w:t>
            </w:r>
          </w:p>
        </w:tc>
        <w:tc>
          <w:tcPr>
            <w:tcW w:w="0" w:type="auto"/>
            <w:vAlign w:val="center"/>
            <w:hideMark/>
          </w:tcPr>
          <w:p w14:paraId="4F482639" w14:textId="77777777" w:rsidR="001A2B51" w:rsidRPr="00730379" w:rsidRDefault="001A2B51" w:rsidP="001A2B51">
            <w:pPr>
              <w:rPr>
                <w:rFonts w:ascii="Aptos" w:hAnsi="Aptos"/>
                <w:color w:val="013844"/>
                <w:sz w:val="20"/>
                <w:szCs w:val="20"/>
              </w:rPr>
            </w:pPr>
          </w:p>
        </w:tc>
        <w:tc>
          <w:tcPr>
            <w:tcW w:w="0" w:type="auto"/>
            <w:vAlign w:val="center"/>
            <w:hideMark/>
          </w:tcPr>
          <w:p w14:paraId="1DEF2B95" w14:textId="77777777" w:rsidR="001A2B51" w:rsidRPr="00730379" w:rsidRDefault="001A2B51" w:rsidP="001A2B51">
            <w:pPr>
              <w:rPr>
                <w:rFonts w:ascii="Aptos" w:hAnsi="Aptos"/>
                <w:color w:val="013844"/>
                <w:sz w:val="20"/>
                <w:szCs w:val="20"/>
              </w:rPr>
            </w:pPr>
          </w:p>
        </w:tc>
      </w:tr>
      <w:tr w:rsidR="001A2B51" w:rsidRPr="00730379" w14:paraId="0C76B50C" w14:textId="77777777">
        <w:trPr>
          <w:tblCellSpacing w:w="15" w:type="dxa"/>
        </w:trPr>
        <w:tc>
          <w:tcPr>
            <w:tcW w:w="0" w:type="auto"/>
            <w:vAlign w:val="center"/>
            <w:hideMark/>
          </w:tcPr>
          <w:p w14:paraId="51D420F7"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External parties</w:t>
            </w:r>
          </w:p>
        </w:tc>
        <w:tc>
          <w:tcPr>
            <w:tcW w:w="0" w:type="auto"/>
            <w:vAlign w:val="center"/>
            <w:hideMark/>
          </w:tcPr>
          <w:p w14:paraId="5201757A"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External clinician(s) invited and test booked</w:t>
            </w:r>
          </w:p>
        </w:tc>
        <w:tc>
          <w:tcPr>
            <w:tcW w:w="0" w:type="auto"/>
            <w:vAlign w:val="center"/>
            <w:hideMark/>
          </w:tcPr>
          <w:p w14:paraId="1D04A9AE"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56EE4250" w14:textId="77777777" w:rsidR="001A2B51" w:rsidRPr="00730379" w:rsidRDefault="001A2B51" w:rsidP="001A2B51">
            <w:pPr>
              <w:rPr>
                <w:rFonts w:ascii="Aptos" w:hAnsi="Aptos"/>
                <w:color w:val="013844"/>
                <w:sz w:val="20"/>
                <w:szCs w:val="20"/>
              </w:rPr>
            </w:pPr>
          </w:p>
        </w:tc>
        <w:tc>
          <w:tcPr>
            <w:tcW w:w="0" w:type="auto"/>
            <w:vAlign w:val="center"/>
            <w:hideMark/>
          </w:tcPr>
          <w:p w14:paraId="0D72E98E" w14:textId="77777777" w:rsidR="001A2B51" w:rsidRPr="00730379" w:rsidRDefault="001A2B51" w:rsidP="001A2B51">
            <w:pPr>
              <w:rPr>
                <w:rFonts w:ascii="Aptos" w:hAnsi="Aptos"/>
                <w:color w:val="013844"/>
                <w:sz w:val="20"/>
                <w:szCs w:val="20"/>
              </w:rPr>
            </w:pPr>
          </w:p>
        </w:tc>
      </w:tr>
    </w:tbl>
    <w:p w14:paraId="410C3346"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lastRenderedPageBreak/>
        <w:t xml:space="preserve">Privacy items should be treated as implementation work, not just “policy awareness”, because health services routinely handle sensitive information and need clear handling practices. </w:t>
      </w:r>
    </w:p>
    <w:p w14:paraId="0C17DAD3"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3.3 Phase 1 use cases (prioritised)</w:t>
      </w:r>
    </w:p>
    <w:p w14:paraId="0A3294B1"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Select </w:t>
      </w:r>
      <w:r w:rsidRPr="00730379">
        <w:rPr>
          <w:rFonts w:ascii="Aptos" w:hAnsi="Aptos"/>
          <w:b/>
          <w:bCs/>
          <w:color w:val="013844"/>
          <w:sz w:val="22"/>
          <w:szCs w:val="22"/>
        </w:rPr>
        <w:t>three</w:t>
      </w:r>
      <w:r w:rsidRPr="00730379">
        <w:rPr>
          <w:rFonts w:ascii="Aptos" w:hAnsi="Aptos"/>
          <w:color w:val="013844"/>
          <w:sz w:val="22"/>
          <w:szCs w:val="22"/>
        </w:rPr>
        <w:t xml:space="preserve"> Phase 1 use cases. Keep them simple and repeatable.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81"/>
        <w:gridCol w:w="1230"/>
        <w:gridCol w:w="1515"/>
        <w:gridCol w:w="1984"/>
      </w:tblGrid>
      <w:tr w:rsidR="001A2B51" w:rsidRPr="00730379" w14:paraId="16DE45E2" w14:textId="77777777">
        <w:trPr>
          <w:tblHeader/>
          <w:tblCellSpacing w:w="15" w:type="dxa"/>
        </w:trPr>
        <w:tc>
          <w:tcPr>
            <w:tcW w:w="0" w:type="auto"/>
            <w:vAlign w:val="center"/>
            <w:hideMark/>
          </w:tcPr>
          <w:p w14:paraId="517EFB14" w14:textId="77777777" w:rsidR="001A2B51" w:rsidRPr="00730379" w:rsidRDefault="001A2B51" w:rsidP="001A2B51">
            <w:pPr>
              <w:rPr>
                <w:rFonts w:ascii="Aptos" w:hAnsi="Aptos"/>
                <w:b/>
                <w:bCs/>
                <w:color w:val="013844"/>
                <w:sz w:val="22"/>
                <w:szCs w:val="22"/>
              </w:rPr>
            </w:pPr>
            <w:r w:rsidRPr="00730379">
              <w:rPr>
                <w:rFonts w:ascii="Aptos" w:hAnsi="Aptos"/>
                <w:b/>
                <w:bCs/>
                <w:color w:val="013844"/>
                <w:sz w:val="22"/>
                <w:szCs w:val="22"/>
              </w:rPr>
              <w:t>Use case</w:t>
            </w:r>
          </w:p>
        </w:tc>
        <w:tc>
          <w:tcPr>
            <w:tcW w:w="0" w:type="auto"/>
            <w:vAlign w:val="center"/>
            <w:hideMark/>
          </w:tcPr>
          <w:p w14:paraId="0F7311A0" w14:textId="77777777" w:rsidR="001A2B51" w:rsidRPr="00730379" w:rsidRDefault="001A2B51" w:rsidP="001A2B51">
            <w:pPr>
              <w:rPr>
                <w:rFonts w:ascii="Aptos" w:hAnsi="Aptos"/>
                <w:b/>
                <w:bCs/>
                <w:color w:val="013844"/>
                <w:sz w:val="22"/>
                <w:szCs w:val="22"/>
              </w:rPr>
            </w:pPr>
            <w:r w:rsidRPr="00730379">
              <w:rPr>
                <w:rFonts w:ascii="Aptos" w:hAnsi="Aptos"/>
                <w:b/>
                <w:bCs/>
                <w:color w:val="013844"/>
                <w:sz w:val="22"/>
                <w:szCs w:val="22"/>
              </w:rPr>
              <w:t>Description</w:t>
            </w:r>
          </w:p>
        </w:tc>
        <w:tc>
          <w:tcPr>
            <w:tcW w:w="0" w:type="auto"/>
            <w:vAlign w:val="center"/>
            <w:hideMark/>
          </w:tcPr>
          <w:p w14:paraId="4C77D50E" w14:textId="77777777" w:rsidR="001A2B51" w:rsidRPr="00730379" w:rsidRDefault="001A2B51" w:rsidP="001A2B51">
            <w:pPr>
              <w:rPr>
                <w:rFonts w:ascii="Aptos" w:hAnsi="Aptos"/>
                <w:b/>
                <w:bCs/>
                <w:color w:val="013844"/>
                <w:sz w:val="22"/>
                <w:szCs w:val="22"/>
              </w:rPr>
            </w:pPr>
            <w:r w:rsidRPr="00730379">
              <w:rPr>
                <w:rFonts w:ascii="Aptos" w:hAnsi="Aptos"/>
                <w:b/>
                <w:bCs/>
                <w:color w:val="013844"/>
                <w:sz w:val="22"/>
                <w:szCs w:val="22"/>
              </w:rPr>
              <w:t>Why it matters</w:t>
            </w:r>
          </w:p>
        </w:tc>
        <w:tc>
          <w:tcPr>
            <w:tcW w:w="0" w:type="auto"/>
            <w:vAlign w:val="center"/>
            <w:hideMark/>
          </w:tcPr>
          <w:p w14:paraId="2C356130" w14:textId="77777777" w:rsidR="001A2B51" w:rsidRPr="00730379" w:rsidRDefault="001A2B51" w:rsidP="001A2B51">
            <w:pPr>
              <w:rPr>
                <w:rFonts w:ascii="Aptos" w:hAnsi="Aptos"/>
                <w:b/>
                <w:bCs/>
                <w:color w:val="013844"/>
                <w:sz w:val="22"/>
                <w:szCs w:val="22"/>
              </w:rPr>
            </w:pPr>
            <w:r w:rsidRPr="00730379">
              <w:rPr>
                <w:rFonts w:ascii="Aptos" w:hAnsi="Aptos"/>
                <w:b/>
                <w:bCs/>
                <w:color w:val="013844"/>
                <w:sz w:val="22"/>
                <w:szCs w:val="22"/>
              </w:rPr>
              <w:t>Notes (constraints)</w:t>
            </w:r>
          </w:p>
        </w:tc>
      </w:tr>
      <w:tr w:rsidR="001A2B51" w:rsidRPr="00730379" w14:paraId="60B2A5CD" w14:textId="77777777">
        <w:trPr>
          <w:tblCellSpacing w:w="15" w:type="dxa"/>
        </w:trPr>
        <w:tc>
          <w:tcPr>
            <w:tcW w:w="0" w:type="auto"/>
            <w:vAlign w:val="center"/>
            <w:hideMark/>
          </w:tcPr>
          <w:p w14:paraId="682BA19A"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UC1</w:t>
            </w:r>
          </w:p>
        </w:tc>
        <w:tc>
          <w:tcPr>
            <w:tcW w:w="0" w:type="auto"/>
            <w:vAlign w:val="center"/>
            <w:hideMark/>
          </w:tcPr>
          <w:p w14:paraId="6CE37B1E" w14:textId="77777777" w:rsidR="001A2B51" w:rsidRPr="00730379" w:rsidRDefault="001A2B51" w:rsidP="001A2B51">
            <w:pPr>
              <w:rPr>
                <w:rFonts w:ascii="Aptos" w:hAnsi="Aptos"/>
                <w:color w:val="013844"/>
                <w:sz w:val="22"/>
                <w:szCs w:val="22"/>
              </w:rPr>
            </w:pPr>
          </w:p>
        </w:tc>
        <w:tc>
          <w:tcPr>
            <w:tcW w:w="0" w:type="auto"/>
            <w:vAlign w:val="center"/>
            <w:hideMark/>
          </w:tcPr>
          <w:p w14:paraId="6DF7167F" w14:textId="77777777" w:rsidR="001A2B51" w:rsidRPr="00730379" w:rsidRDefault="001A2B51" w:rsidP="001A2B51">
            <w:pPr>
              <w:rPr>
                <w:rFonts w:ascii="Aptos" w:hAnsi="Aptos"/>
                <w:color w:val="013844"/>
                <w:sz w:val="22"/>
                <w:szCs w:val="22"/>
              </w:rPr>
            </w:pPr>
          </w:p>
        </w:tc>
        <w:tc>
          <w:tcPr>
            <w:tcW w:w="0" w:type="auto"/>
            <w:vAlign w:val="center"/>
            <w:hideMark/>
          </w:tcPr>
          <w:p w14:paraId="3B26F5DB" w14:textId="77777777" w:rsidR="001A2B51" w:rsidRPr="00730379" w:rsidRDefault="001A2B51" w:rsidP="001A2B51">
            <w:pPr>
              <w:rPr>
                <w:rFonts w:ascii="Aptos" w:hAnsi="Aptos"/>
                <w:color w:val="013844"/>
                <w:sz w:val="22"/>
                <w:szCs w:val="22"/>
              </w:rPr>
            </w:pPr>
          </w:p>
        </w:tc>
      </w:tr>
      <w:tr w:rsidR="001A2B51" w:rsidRPr="00730379" w14:paraId="498D77AB" w14:textId="77777777">
        <w:trPr>
          <w:tblCellSpacing w:w="15" w:type="dxa"/>
        </w:trPr>
        <w:tc>
          <w:tcPr>
            <w:tcW w:w="0" w:type="auto"/>
            <w:vAlign w:val="center"/>
            <w:hideMark/>
          </w:tcPr>
          <w:p w14:paraId="408FA21C"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UC2</w:t>
            </w:r>
          </w:p>
        </w:tc>
        <w:tc>
          <w:tcPr>
            <w:tcW w:w="0" w:type="auto"/>
            <w:vAlign w:val="center"/>
            <w:hideMark/>
          </w:tcPr>
          <w:p w14:paraId="614AD094" w14:textId="77777777" w:rsidR="001A2B51" w:rsidRPr="00730379" w:rsidRDefault="001A2B51" w:rsidP="001A2B51">
            <w:pPr>
              <w:rPr>
                <w:rFonts w:ascii="Aptos" w:hAnsi="Aptos"/>
                <w:color w:val="013844"/>
                <w:sz w:val="22"/>
                <w:szCs w:val="22"/>
              </w:rPr>
            </w:pPr>
          </w:p>
        </w:tc>
        <w:tc>
          <w:tcPr>
            <w:tcW w:w="0" w:type="auto"/>
            <w:vAlign w:val="center"/>
            <w:hideMark/>
          </w:tcPr>
          <w:p w14:paraId="0E30B7C1" w14:textId="77777777" w:rsidR="001A2B51" w:rsidRPr="00730379" w:rsidRDefault="001A2B51" w:rsidP="001A2B51">
            <w:pPr>
              <w:rPr>
                <w:rFonts w:ascii="Aptos" w:hAnsi="Aptos"/>
                <w:color w:val="013844"/>
                <w:sz w:val="22"/>
                <w:szCs w:val="22"/>
              </w:rPr>
            </w:pPr>
          </w:p>
        </w:tc>
        <w:tc>
          <w:tcPr>
            <w:tcW w:w="0" w:type="auto"/>
            <w:vAlign w:val="center"/>
            <w:hideMark/>
          </w:tcPr>
          <w:p w14:paraId="7E060F7F" w14:textId="77777777" w:rsidR="001A2B51" w:rsidRPr="00730379" w:rsidRDefault="001A2B51" w:rsidP="001A2B51">
            <w:pPr>
              <w:rPr>
                <w:rFonts w:ascii="Aptos" w:hAnsi="Aptos"/>
                <w:color w:val="013844"/>
                <w:sz w:val="22"/>
                <w:szCs w:val="22"/>
              </w:rPr>
            </w:pPr>
          </w:p>
        </w:tc>
      </w:tr>
      <w:tr w:rsidR="001A2B51" w:rsidRPr="00730379" w14:paraId="79BBE8DE" w14:textId="77777777">
        <w:trPr>
          <w:tblCellSpacing w:w="15" w:type="dxa"/>
        </w:trPr>
        <w:tc>
          <w:tcPr>
            <w:tcW w:w="0" w:type="auto"/>
            <w:vAlign w:val="center"/>
            <w:hideMark/>
          </w:tcPr>
          <w:p w14:paraId="5334B0C3"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UC3</w:t>
            </w:r>
          </w:p>
        </w:tc>
        <w:tc>
          <w:tcPr>
            <w:tcW w:w="0" w:type="auto"/>
            <w:vAlign w:val="center"/>
            <w:hideMark/>
          </w:tcPr>
          <w:p w14:paraId="276E1A48" w14:textId="77777777" w:rsidR="001A2B51" w:rsidRPr="00730379" w:rsidRDefault="001A2B51" w:rsidP="001A2B51">
            <w:pPr>
              <w:rPr>
                <w:rFonts w:ascii="Aptos" w:hAnsi="Aptos"/>
                <w:color w:val="013844"/>
                <w:sz w:val="22"/>
                <w:szCs w:val="22"/>
              </w:rPr>
            </w:pPr>
          </w:p>
        </w:tc>
        <w:tc>
          <w:tcPr>
            <w:tcW w:w="0" w:type="auto"/>
            <w:vAlign w:val="center"/>
            <w:hideMark/>
          </w:tcPr>
          <w:p w14:paraId="45F31625" w14:textId="77777777" w:rsidR="001A2B51" w:rsidRPr="00730379" w:rsidRDefault="001A2B51" w:rsidP="001A2B51">
            <w:pPr>
              <w:rPr>
                <w:rFonts w:ascii="Aptos" w:hAnsi="Aptos"/>
                <w:color w:val="013844"/>
                <w:sz w:val="22"/>
                <w:szCs w:val="22"/>
              </w:rPr>
            </w:pPr>
          </w:p>
        </w:tc>
        <w:tc>
          <w:tcPr>
            <w:tcW w:w="0" w:type="auto"/>
            <w:vAlign w:val="center"/>
            <w:hideMark/>
          </w:tcPr>
          <w:p w14:paraId="19A5690D" w14:textId="77777777" w:rsidR="001A2B51" w:rsidRPr="00730379" w:rsidRDefault="001A2B51" w:rsidP="001A2B51">
            <w:pPr>
              <w:rPr>
                <w:rFonts w:ascii="Aptos" w:hAnsi="Aptos"/>
                <w:color w:val="013844"/>
                <w:sz w:val="22"/>
                <w:szCs w:val="22"/>
              </w:rPr>
            </w:pPr>
          </w:p>
        </w:tc>
      </w:tr>
    </w:tbl>
    <w:p w14:paraId="38E181FD"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When selecting use cases, apply a clinical appropriateness lens so staff are confident when virtual care is suitable and when an in-person pathway is needed. </w:t>
      </w:r>
    </w:p>
    <w:p w14:paraId="3E448BC5"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3.4 Risks, assumptions, issues, dependencies (RAID)</w:t>
      </w:r>
    </w:p>
    <w:p w14:paraId="66B2DBA2"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Maintain a living RAID log from week 1. This is where adoption blockers belong (not in email chains). Record owner, due date, and decision required.</w:t>
      </w:r>
    </w:p>
    <w:p w14:paraId="1006EF4C" w14:textId="77777777" w:rsidR="001A2B51" w:rsidRPr="00730379" w:rsidRDefault="001A2B51" w:rsidP="001A2B51">
      <w:pPr>
        <w:rPr>
          <w:rFonts w:ascii="Aptos" w:hAnsi="Aptos"/>
          <w:color w:val="013844"/>
          <w:sz w:val="22"/>
          <w:szCs w:val="22"/>
        </w:rPr>
      </w:pPr>
    </w:p>
    <w:p w14:paraId="7B4BA175" w14:textId="2E64B969" w:rsidR="001A2B51" w:rsidRPr="00BA74CE" w:rsidRDefault="00BA74CE" w:rsidP="001A2B51">
      <w:pPr>
        <w:pStyle w:val="Heading2"/>
        <w:rPr>
          <w:rFonts w:ascii="Aptos" w:hAnsi="Aptos"/>
          <w:color w:val="013844"/>
        </w:rPr>
      </w:pPr>
      <w:bookmarkStart w:id="3" w:name="_Toc219805097"/>
      <w:r w:rsidRPr="00BA74CE">
        <w:rPr>
          <w:rFonts w:ascii="Aptos" w:hAnsi="Aptos"/>
          <w:color w:val="013844"/>
          <w:sz w:val="24"/>
          <w:szCs w:val="24"/>
        </w:rPr>
        <w:t>SECTION 4</w:t>
      </w:r>
      <w:r w:rsidRPr="00730379">
        <w:rPr>
          <w:rFonts w:ascii="Aptos" w:hAnsi="Aptos"/>
          <w:color w:val="013844"/>
          <w:sz w:val="28"/>
          <w:szCs w:val="28"/>
        </w:rPr>
        <w:t xml:space="preserve"> </w:t>
      </w:r>
      <w:r>
        <w:rPr>
          <w:rFonts w:ascii="Aptos" w:hAnsi="Aptos"/>
          <w:color w:val="013844"/>
          <w:sz w:val="28"/>
          <w:szCs w:val="28"/>
        </w:rPr>
        <w:br/>
      </w:r>
      <w:r w:rsidR="001A2B51" w:rsidRPr="00BA74CE">
        <w:rPr>
          <w:rFonts w:ascii="Aptos" w:hAnsi="Aptos"/>
          <w:b/>
          <w:bCs/>
          <w:color w:val="013844"/>
        </w:rPr>
        <w:t>Solution design and workflow sign-off</w:t>
      </w:r>
      <w:bookmarkEnd w:id="3"/>
    </w:p>
    <w:p w14:paraId="1F7DF633"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4.1 Objective</w:t>
      </w:r>
    </w:p>
    <w:p w14:paraId="3E5ABD32"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Design the Phase 1 workflows so staff can deliver safe, consistent virtual care at [Site], with clear responsibilities for consent, clinical appropriateness, documentation, escalation, and failover when technology or connectivity is unreliable. This section ends with clinical and technical sign-off prior to go-live. </w:t>
      </w:r>
    </w:p>
    <w:p w14:paraId="3A19099F"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4.2 Design principles</w:t>
      </w:r>
    </w:p>
    <w:p w14:paraId="6D92E629"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The workflow design should align with established expectations for safe care, including timely escalation of deterioration and reliable communication and documentation across care teams. </w:t>
      </w:r>
    </w:p>
    <w:p w14:paraId="3794A516"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For each use case, the design must make it obvious:</w:t>
      </w:r>
    </w:p>
    <w:p w14:paraId="5C8E0FF0" w14:textId="77777777" w:rsidR="001A2B51" w:rsidRPr="00730379" w:rsidRDefault="001A2B51" w:rsidP="001A2B51">
      <w:pPr>
        <w:numPr>
          <w:ilvl w:val="0"/>
          <w:numId w:val="9"/>
        </w:numPr>
        <w:rPr>
          <w:rFonts w:ascii="Aptos" w:hAnsi="Aptos"/>
          <w:color w:val="013844"/>
          <w:sz w:val="22"/>
          <w:szCs w:val="22"/>
        </w:rPr>
      </w:pPr>
      <w:r w:rsidRPr="00730379">
        <w:rPr>
          <w:rFonts w:ascii="Aptos" w:hAnsi="Aptos"/>
          <w:color w:val="013844"/>
          <w:sz w:val="22"/>
          <w:szCs w:val="22"/>
        </w:rPr>
        <w:t xml:space="preserve">when virtual care is appropriate and when it is not (and what happens next) </w:t>
      </w:r>
    </w:p>
    <w:p w14:paraId="510646F3" w14:textId="77777777" w:rsidR="001A2B51" w:rsidRPr="00730379" w:rsidRDefault="001A2B51" w:rsidP="001A2B51">
      <w:pPr>
        <w:numPr>
          <w:ilvl w:val="0"/>
          <w:numId w:val="9"/>
        </w:numPr>
        <w:rPr>
          <w:rFonts w:ascii="Aptos" w:hAnsi="Aptos"/>
          <w:color w:val="013844"/>
          <w:sz w:val="22"/>
          <w:szCs w:val="22"/>
        </w:rPr>
      </w:pPr>
      <w:r w:rsidRPr="00730379">
        <w:rPr>
          <w:rFonts w:ascii="Aptos" w:hAnsi="Aptos"/>
          <w:color w:val="013844"/>
          <w:sz w:val="22"/>
          <w:szCs w:val="22"/>
        </w:rPr>
        <w:t xml:space="preserve">how consent is obtained and recorded </w:t>
      </w:r>
    </w:p>
    <w:p w14:paraId="78DCAD2B" w14:textId="77777777" w:rsidR="001A2B51" w:rsidRPr="00730379" w:rsidRDefault="001A2B51" w:rsidP="001A2B51">
      <w:pPr>
        <w:numPr>
          <w:ilvl w:val="0"/>
          <w:numId w:val="9"/>
        </w:numPr>
        <w:rPr>
          <w:rFonts w:ascii="Aptos" w:hAnsi="Aptos"/>
          <w:color w:val="013844"/>
          <w:sz w:val="22"/>
          <w:szCs w:val="22"/>
        </w:rPr>
      </w:pPr>
      <w:r w:rsidRPr="00730379">
        <w:rPr>
          <w:rFonts w:ascii="Aptos" w:hAnsi="Aptos"/>
          <w:color w:val="013844"/>
          <w:sz w:val="22"/>
          <w:szCs w:val="22"/>
        </w:rPr>
        <w:t xml:space="preserve">how the service escalates clinical concerns and who can trigger escalation </w:t>
      </w:r>
    </w:p>
    <w:p w14:paraId="44EC431B" w14:textId="77777777" w:rsidR="001A2B51" w:rsidRPr="00730379" w:rsidRDefault="001A2B51" w:rsidP="001A2B51">
      <w:pPr>
        <w:numPr>
          <w:ilvl w:val="0"/>
          <w:numId w:val="9"/>
        </w:numPr>
        <w:rPr>
          <w:rFonts w:ascii="Aptos" w:hAnsi="Aptos"/>
          <w:color w:val="013844"/>
          <w:sz w:val="22"/>
          <w:szCs w:val="22"/>
        </w:rPr>
      </w:pPr>
      <w:r w:rsidRPr="00730379">
        <w:rPr>
          <w:rFonts w:ascii="Aptos" w:hAnsi="Aptos"/>
          <w:color w:val="013844"/>
          <w:sz w:val="22"/>
          <w:szCs w:val="22"/>
        </w:rPr>
        <w:lastRenderedPageBreak/>
        <w:t xml:space="preserve">where documentation sits and how information is handed over safely </w:t>
      </w:r>
    </w:p>
    <w:p w14:paraId="36D73FA5"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4.3 Use case workflow sheet (complete one per Phase 1 use case)</w:t>
      </w:r>
    </w:p>
    <w:p w14:paraId="7AB178CD"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Populate the template below for UC1, UC2, UC3. Keep it one page per use case.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51"/>
        <w:gridCol w:w="448"/>
        <w:gridCol w:w="6682"/>
      </w:tblGrid>
      <w:tr w:rsidR="001A2B51" w:rsidRPr="00730379" w14:paraId="503DE0D5" w14:textId="77777777">
        <w:trPr>
          <w:tblHeader/>
          <w:tblCellSpacing w:w="15" w:type="dxa"/>
        </w:trPr>
        <w:tc>
          <w:tcPr>
            <w:tcW w:w="0" w:type="auto"/>
            <w:vAlign w:val="center"/>
            <w:hideMark/>
          </w:tcPr>
          <w:p w14:paraId="057444D7"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Field</w:t>
            </w:r>
          </w:p>
        </w:tc>
        <w:tc>
          <w:tcPr>
            <w:tcW w:w="0" w:type="auto"/>
            <w:vAlign w:val="center"/>
            <w:hideMark/>
          </w:tcPr>
          <w:p w14:paraId="5881A307"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UC1</w:t>
            </w:r>
          </w:p>
        </w:tc>
        <w:tc>
          <w:tcPr>
            <w:tcW w:w="0" w:type="auto"/>
            <w:vAlign w:val="center"/>
            <w:hideMark/>
          </w:tcPr>
          <w:p w14:paraId="005822DB"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Notes</w:t>
            </w:r>
          </w:p>
        </w:tc>
      </w:tr>
      <w:tr w:rsidR="001A2B51" w:rsidRPr="00730379" w14:paraId="191A7FDB" w14:textId="77777777">
        <w:trPr>
          <w:tblCellSpacing w:w="15" w:type="dxa"/>
        </w:trPr>
        <w:tc>
          <w:tcPr>
            <w:tcW w:w="0" w:type="auto"/>
            <w:vAlign w:val="center"/>
            <w:hideMark/>
          </w:tcPr>
          <w:p w14:paraId="70E72AD6"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Use case name</w:t>
            </w:r>
          </w:p>
        </w:tc>
        <w:tc>
          <w:tcPr>
            <w:tcW w:w="0" w:type="auto"/>
            <w:vAlign w:val="center"/>
            <w:hideMark/>
          </w:tcPr>
          <w:p w14:paraId="6F634BB3" w14:textId="77777777" w:rsidR="001A2B51" w:rsidRPr="00730379" w:rsidRDefault="001A2B51" w:rsidP="001A2B51">
            <w:pPr>
              <w:rPr>
                <w:rFonts w:ascii="Aptos" w:hAnsi="Aptos"/>
                <w:color w:val="013844"/>
                <w:sz w:val="20"/>
                <w:szCs w:val="20"/>
              </w:rPr>
            </w:pPr>
          </w:p>
        </w:tc>
        <w:tc>
          <w:tcPr>
            <w:tcW w:w="0" w:type="auto"/>
            <w:vAlign w:val="center"/>
            <w:hideMark/>
          </w:tcPr>
          <w:p w14:paraId="4F5C0AE3" w14:textId="77777777" w:rsidR="001A2B51" w:rsidRPr="00730379" w:rsidRDefault="001A2B51" w:rsidP="001A2B51">
            <w:pPr>
              <w:rPr>
                <w:rFonts w:ascii="Aptos" w:hAnsi="Aptos"/>
                <w:color w:val="013844"/>
                <w:sz w:val="20"/>
                <w:szCs w:val="20"/>
              </w:rPr>
            </w:pPr>
          </w:p>
        </w:tc>
      </w:tr>
      <w:tr w:rsidR="001A2B51" w:rsidRPr="00730379" w14:paraId="2191642A" w14:textId="77777777">
        <w:trPr>
          <w:tblCellSpacing w:w="15" w:type="dxa"/>
        </w:trPr>
        <w:tc>
          <w:tcPr>
            <w:tcW w:w="0" w:type="auto"/>
            <w:vAlign w:val="center"/>
            <w:hideMark/>
          </w:tcPr>
          <w:p w14:paraId="28A7C2C9"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Intended outcomes</w:t>
            </w:r>
          </w:p>
        </w:tc>
        <w:tc>
          <w:tcPr>
            <w:tcW w:w="0" w:type="auto"/>
            <w:vAlign w:val="center"/>
            <w:hideMark/>
          </w:tcPr>
          <w:p w14:paraId="46E864C6" w14:textId="77777777" w:rsidR="001A2B51" w:rsidRPr="00730379" w:rsidRDefault="001A2B51" w:rsidP="001A2B51">
            <w:pPr>
              <w:rPr>
                <w:rFonts w:ascii="Aptos" w:hAnsi="Aptos"/>
                <w:color w:val="013844"/>
                <w:sz w:val="20"/>
                <w:szCs w:val="20"/>
              </w:rPr>
            </w:pPr>
          </w:p>
        </w:tc>
        <w:tc>
          <w:tcPr>
            <w:tcW w:w="0" w:type="auto"/>
            <w:vAlign w:val="center"/>
            <w:hideMark/>
          </w:tcPr>
          <w:p w14:paraId="5C6ECBE8"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Define what “better” looks like at the site</w:t>
            </w:r>
          </w:p>
        </w:tc>
      </w:tr>
      <w:tr w:rsidR="001A2B51" w:rsidRPr="00730379" w14:paraId="0EE7E2B2" w14:textId="77777777">
        <w:trPr>
          <w:tblCellSpacing w:w="15" w:type="dxa"/>
        </w:trPr>
        <w:tc>
          <w:tcPr>
            <w:tcW w:w="0" w:type="auto"/>
            <w:vAlign w:val="center"/>
            <w:hideMark/>
          </w:tcPr>
          <w:p w14:paraId="61BC73C6"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Patient cohort and setting</w:t>
            </w:r>
          </w:p>
        </w:tc>
        <w:tc>
          <w:tcPr>
            <w:tcW w:w="0" w:type="auto"/>
            <w:vAlign w:val="center"/>
            <w:hideMark/>
          </w:tcPr>
          <w:p w14:paraId="15B26EF0" w14:textId="77777777" w:rsidR="001A2B51" w:rsidRPr="00730379" w:rsidRDefault="001A2B51" w:rsidP="001A2B51">
            <w:pPr>
              <w:rPr>
                <w:rFonts w:ascii="Aptos" w:hAnsi="Aptos"/>
                <w:color w:val="013844"/>
                <w:sz w:val="20"/>
                <w:szCs w:val="20"/>
              </w:rPr>
            </w:pPr>
          </w:p>
        </w:tc>
        <w:tc>
          <w:tcPr>
            <w:tcW w:w="0" w:type="auto"/>
            <w:vAlign w:val="center"/>
            <w:hideMark/>
          </w:tcPr>
          <w:p w14:paraId="7956B843"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Clinic, outreach/mobile, in-home support</w:t>
            </w:r>
          </w:p>
        </w:tc>
      </w:tr>
      <w:tr w:rsidR="001A2B51" w:rsidRPr="00730379" w14:paraId="47382E1E" w14:textId="77777777">
        <w:trPr>
          <w:tblCellSpacing w:w="15" w:type="dxa"/>
        </w:trPr>
        <w:tc>
          <w:tcPr>
            <w:tcW w:w="0" w:type="auto"/>
            <w:vAlign w:val="center"/>
            <w:hideMark/>
          </w:tcPr>
          <w:p w14:paraId="70F07FFB"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Trigger and booking</w:t>
            </w:r>
          </w:p>
        </w:tc>
        <w:tc>
          <w:tcPr>
            <w:tcW w:w="0" w:type="auto"/>
            <w:vAlign w:val="center"/>
            <w:hideMark/>
          </w:tcPr>
          <w:p w14:paraId="556ABEA9" w14:textId="77777777" w:rsidR="001A2B51" w:rsidRPr="00730379" w:rsidRDefault="001A2B51" w:rsidP="001A2B51">
            <w:pPr>
              <w:rPr>
                <w:rFonts w:ascii="Aptos" w:hAnsi="Aptos"/>
                <w:color w:val="013844"/>
                <w:sz w:val="20"/>
                <w:szCs w:val="20"/>
              </w:rPr>
            </w:pPr>
          </w:p>
        </w:tc>
        <w:tc>
          <w:tcPr>
            <w:tcW w:w="0" w:type="auto"/>
            <w:vAlign w:val="center"/>
            <w:hideMark/>
          </w:tcPr>
          <w:p w14:paraId="7B214A9C"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Who requests, how scheduled, how patient informed</w:t>
            </w:r>
          </w:p>
        </w:tc>
      </w:tr>
      <w:tr w:rsidR="001A2B51" w:rsidRPr="00730379" w14:paraId="0EBA9EC5" w14:textId="77777777">
        <w:trPr>
          <w:tblCellSpacing w:w="15" w:type="dxa"/>
        </w:trPr>
        <w:tc>
          <w:tcPr>
            <w:tcW w:w="0" w:type="auto"/>
            <w:vAlign w:val="center"/>
            <w:hideMark/>
          </w:tcPr>
          <w:p w14:paraId="514E210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Participants and roles</w:t>
            </w:r>
          </w:p>
        </w:tc>
        <w:tc>
          <w:tcPr>
            <w:tcW w:w="0" w:type="auto"/>
            <w:vAlign w:val="center"/>
            <w:hideMark/>
          </w:tcPr>
          <w:p w14:paraId="3D559AC7" w14:textId="77777777" w:rsidR="001A2B51" w:rsidRPr="00730379" w:rsidRDefault="001A2B51" w:rsidP="001A2B51">
            <w:pPr>
              <w:rPr>
                <w:rFonts w:ascii="Aptos" w:hAnsi="Aptos"/>
                <w:color w:val="013844"/>
                <w:sz w:val="20"/>
                <w:szCs w:val="20"/>
              </w:rPr>
            </w:pPr>
          </w:p>
        </w:tc>
        <w:tc>
          <w:tcPr>
            <w:tcW w:w="0" w:type="auto"/>
            <w:vAlign w:val="center"/>
            <w:hideMark/>
          </w:tcPr>
          <w:p w14:paraId="181F9598"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Onsite support person, clinician, interpreter, family</w:t>
            </w:r>
          </w:p>
        </w:tc>
      </w:tr>
      <w:tr w:rsidR="001A2B51" w:rsidRPr="00730379" w14:paraId="4A548739" w14:textId="77777777">
        <w:trPr>
          <w:tblCellSpacing w:w="15" w:type="dxa"/>
        </w:trPr>
        <w:tc>
          <w:tcPr>
            <w:tcW w:w="0" w:type="auto"/>
            <w:vAlign w:val="center"/>
            <w:hideMark/>
          </w:tcPr>
          <w:p w14:paraId="2869A809"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Clinical appropriateness rules</w:t>
            </w:r>
          </w:p>
        </w:tc>
        <w:tc>
          <w:tcPr>
            <w:tcW w:w="0" w:type="auto"/>
            <w:vAlign w:val="center"/>
            <w:hideMark/>
          </w:tcPr>
          <w:p w14:paraId="78602B25" w14:textId="77777777" w:rsidR="001A2B51" w:rsidRPr="00730379" w:rsidRDefault="001A2B51" w:rsidP="001A2B51">
            <w:pPr>
              <w:rPr>
                <w:rFonts w:ascii="Aptos" w:hAnsi="Aptos"/>
                <w:color w:val="013844"/>
                <w:sz w:val="20"/>
                <w:szCs w:val="20"/>
              </w:rPr>
            </w:pPr>
          </w:p>
        </w:tc>
        <w:tc>
          <w:tcPr>
            <w:tcW w:w="0" w:type="auto"/>
            <w:vAlign w:val="center"/>
            <w:hideMark/>
          </w:tcPr>
          <w:p w14:paraId="1C642E6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 xml:space="preserve">When virtual care is suitable, when to convert to in-person or ED pathway </w:t>
            </w:r>
          </w:p>
        </w:tc>
      </w:tr>
      <w:tr w:rsidR="001A2B51" w:rsidRPr="00730379" w14:paraId="41288473" w14:textId="77777777">
        <w:trPr>
          <w:tblCellSpacing w:w="15" w:type="dxa"/>
        </w:trPr>
        <w:tc>
          <w:tcPr>
            <w:tcW w:w="0" w:type="auto"/>
            <w:vAlign w:val="center"/>
            <w:hideMark/>
          </w:tcPr>
          <w:p w14:paraId="27D467D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Consent process</w:t>
            </w:r>
          </w:p>
        </w:tc>
        <w:tc>
          <w:tcPr>
            <w:tcW w:w="0" w:type="auto"/>
            <w:vAlign w:val="center"/>
            <w:hideMark/>
          </w:tcPr>
          <w:p w14:paraId="1AA00CDB" w14:textId="77777777" w:rsidR="001A2B51" w:rsidRPr="00730379" w:rsidRDefault="001A2B51" w:rsidP="001A2B51">
            <w:pPr>
              <w:rPr>
                <w:rFonts w:ascii="Aptos" w:hAnsi="Aptos"/>
                <w:color w:val="013844"/>
                <w:sz w:val="20"/>
                <w:szCs w:val="20"/>
              </w:rPr>
            </w:pPr>
          </w:p>
        </w:tc>
        <w:tc>
          <w:tcPr>
            <w:tcW w:w="0" w:type="auto"/>
            <w:vAlign w:val="center"/>
            <w:hideMark/>
          </w:tcPr>
          <w:p w14:paraId="0919E31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 xml:space="preserve">How consent is obtained and documented in the record </w:t>
            </w:r>
          </w:p>
        </w:tc>
      </w:tr>
      <w:tr w:rsidR="001A2B51" w:rsidRPr="00730379" w14:paraId="2B7AF4F6" w14:textId="77777777">
        <w:trPr>
          <w:tblCellSpacing w:w="15" w:type="dxa"/>
        </w:trPr>
        <w:tc>
          <w:tcPr>
            <w:tcW w:w="0" w:type="auto"/>
            <w:vAlign w:val="center"/>
            <w:hideMark/>
          </w:tcPr>
          <w:p w14:paraId="4A6E0CFD"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Pre-call checks</w:t>
            </w:r>
          </w:p>
        </w:tc>
        <w:tc>
          <w:tcPr>
            <w:tcW w:w="0" w:type="auto"/>
            <w:vAlign w:val="center"/>
            <w:hideMark/>
          </w:tcPr>
          <w:p w14:paraId="7AF51E3F" w14:textId="77777777" w:rsidR="001A2B51" w:rsidRPr="00730379" w:rsidRDefault="001A2B51" w:rsidP="001A2B51">
            <w:pPr>
              <w:rPr>
                <w:rFonts w:ascii="Aptos" w:hAnsi="Aptos"/>
                <w:color w:val="013844"/>
                <w:sz w:val="20"/>
                <w:szCs w:val="20"/>
              </w:rPr>
            </w:pPr>
          </w:p>
        </w:tc>
        <w:tc>
          <w:tcPr>
            <w:tcW w:w="0" w:type="auto"/>
            <w:vAlign w:val="center"/>
            <w:hideMark/>
          </w:tcPr>
          <w:p w14:paraId="28965D03"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Identity verification approach, environment, equipment readiness</w:t>
            </w:r>
          </w:p>
        </w:tc>
      </w:tr>
      <w:tr w:rsidR="001A2B51" w:rsidRPr="00730379" w14:paraId="45F1CDA5" w14:textId="77777777">
        <w:trPr>
          <w:tblCellSpacing w:w="15" w:type="dxa"/>
        </w:trPr>
        <w:tc>
          <w:tcPr>
            <w:tcW w:w="0" w:type="auto"/>
            <w:vAlign w:val="center"/>
            <w:hideMark/>
          </w:tcPr>
          <w:p w14:paraId="2714560A"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In-consult steps</w:t>
            </w:r>
          </w:p>
        </w:tc>
        <w:tc>
          <w:tcPr>
            <w:tcW w:w="0" w:type="auto"/>
            <w:vAlign w:val="center"/>
            <w:hideMark/>
          </w:tcPr>
          <w:p w14:paraId="52357AD9" w14:textId="77777777" w:rsidR="001A2B51" w:rsidRPr="00730379" w:rsidRDefault="001A2B51" w:rsidP="001A2B51">
            <w:pPr>
              <w:rPr>
                <w:rFonts w:ascii="Aptos" w:hAnsi="Aptos"/>
                <w:color w:val="013844"/>
                <w:sz w:val="20"/>
                <w:szCs w:val="20"/>
              </w:rPr>
            </w:pPr>
          </w:p>
        </w:tc>
        <w:tc>
          <w:tcPr>
            <w:tcW w:w="0" w:type="auto"/>
            <w:vAlign w:val="center"/>
            <w:hideMark/>
          </w:tcPr>
          <w:p w14:paraId="68B6C007"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How observations are captured, how peripherals are used (if relevant)</w:t>
            </w:r>
          </w:p>
        </w:tc>
      </w:tr>
      <w:tr w:rsidR="001A2B51" w:rsidRPr="00730379" w14:paraId="3307680F" w14:textId="77777777">
        <w:trPr>
          <w:tblCellSpacing w:w="15" w:type="dxa"/>
        </w:trPr>
        <w:tc>
          <w:tcPr>
            <w:tcW w:w="0" w:type="auto"/>
            <w:vAlign w:val="center"/>
            <w:hideMark/>
          </w:tcPr>
          <w:p w14:paraId="686B0B81"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Documentation requirements</w:t>
            </w:r>
          </w:p>
        </w:tc>
        <w:tc>
          <w:tcPr>
            <w:tcW w:w="0" w:type="auto"/>
            <w:vAlign w:val="center"/>
            <w:hideMark/>
          </w:tcPr>
          <w:p w14:paraId="6DA54886" w14:textId="77777777" w:rsidR="001A2B51" w:rsidRPr="00730379" w:rsidRDefault="001A2B51" w:rsidP="001A2B51">
            <w:pPr>
              <w:rPr>
                <w:rFonts w:ascii="Aptos" w:hAnsi="Aptos"/>
                <w:color w:val="013844"/>
                <w:sz w:val="20"/>
                <w:szCs w:val="20"/>
              </w:rPr>
            </w:pPr>
          </w:p>
        </w:tc>
        <w:tc>
          <w:tcPr>
            <w:tcW w:w="0" w:type="auto"/>
            <w:vAlign w:val="center"/>
            <w:hideMark/>
          </w:tcPr>
          <w:p w14:paraId="78DC35C3"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 xml:space="preserve">Where notes go, how results/images are stored, who documents what </w:t>
            </w:r>
          </w:p>
        </w:tc>
      </w:tr>
      <w:tr w:rsidR="001A2B51" w:rsidRPr="00730379" w14:paraId="66EBC652" w14:textId="77777777">
        <w:trPr>
          <w:tblCellSpacing w:w="15" w:type="dxa"/>
        </w:trPr>
        <w:tc>
          <w:tcPr>
            <w:tcW w:w="0" w:type="auto"/>
            <w:vAlign w:val="center"/>
            <w:hideMark/>
          </w:tcPr>
          <w:p w14:paraId="3E2FE8C8"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Escalation pathway</w:t>
            </w:r>
          </w:p>
        </w:tc>
        <w:tc>
          <w:tcPr>
            <w:tcW w:w="0" w:type="auto"/>
            <w:vAlign w:val="center"/>
            <w:hideMark/>
          </w:tcPr>
          <w:p w14:paraId="4F02189F" w14:textId="77777777" w:rsidR="001A2B51" w:rsidRPr="00730379" w:rsidRDefault="001A2B51" w:rsidP="001A2B51">
            <w:pPr>
              <w:rPr>
                <w:rFonts w:ascii="Aptos" w:hAnsi="Aptos"/>
                <w:color w:val="013844"/>
                <w:sz w:val="20"/>
                <w:szCs w:val="20"/>
              </w:rPr>
            </w:pPr>
          </w:p>
        </w:tc>
        <w:tc>
          <w:tcPr>
            <w:tcW w:w="0" w:type="auto"/>
            <w:vAlign w:val="center"/>
            <w:hideMark/>
          </w:tcPr>
          <w:p w14:paraId="1E776F0B"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 xml:space="preserve">Deterioration recognition, who is contacted, timeframes, transfer pathway </w:t>
            </w:r>
          </w:p>
        </w:tc>
      </w:tr>
      <w:tr w:rsidR="001A2B51" w:rsidRPr="00730379" w14:paraId="0B88CA88" w14:textId="77777777">
        <w:trPr>
          <w:tblCellSpacing w:w="15" w:type="dxa"/>
        </w:trPr>
        <w:tc>
          <w:tcPr>
            <w:tcW w:w="0" w:type="auto"/>
            <w:vAlign w:val="center"/>
            <w:hideMark/>
          </w:tcPr>
          <w:p w14:paraId="7E242302"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Technology failover</w:t>
            </w:r>
          </w:p>
        </w:tc>
        <w:tc>
          <w:tcPr>
            <w:tcW w:w="0" w:type="auto"/>
            <w:vAlign w:val="center"/>
            <w:hideMark/>
          </w:tcPr>
          <w:p w14:paraId="4B600128" w14:textId="77777777" w:rsidR="001A2B51" w:rsidRPr="00730379" w:rsidRDefault="001A2B51" w:rsidP="001A2B51">
            <w:pPr>
              <w:rPr>
                <w:rFonts w:ascii="Aptos" w:hAnsi="Aptos"/>
                <w:color w:val="013844"/>
                <w:sz w:val="20"/>
                <w:szCs w:val="20"/>
              </w:rPr>
            </w:pPr>
          </w:p>
        </w:tc>
        <w:tc>
          <w:tcPr>
            <w:tcW w:w="0" w:type="auto"/>
            <w:vAlign w:val="center"/>
            <w:hideMark/>
          </w:tcPr>
          <w:p w14:paraId="3D193811"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What happens if video fails: phone fallback, reschedule, alternate connection</w:t>
            </w:r>
          </w:p>
        </w:tc>
      </w:tr>
      <w:tr w:rsidR="001A2B51" w:rsidRPr="00730379" w14:paraId="04D78A97" w14:textId="77777777">
        <w:trPr>
          <w:tblCellSpacing w:w="15" w:type="dxa"/>
        </w:trPr>
        <w:tc>
          <w:tcPr>
            <w:tcW w:w="0" w:type="auto"/>
            <w:vAlign w:val="center"/>
            <w:hideMark/>
          </w:tcPr>
          <w:p w14:paraId="19CE7B88"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Post-consult follow-up</w:t>
            </w:r>
          </w:p>
        </w:tc>
        <w:tc>
          <w:tcPr>
            <w:tcW w:w="0" w:type="auto"/>
            <w:vAlign w:val="center"/>
            <w:hideMark/>
          </w:tcPr>
          <w:p w14:paraId="2165C5C2" w14:textId="77777777" w:rsidR="001A2B51" w:rsidRPr="00730379" w:rsidRDefault="001A2B51" w:rsidP="001A2B51">
            <w:pPr>
              <w:rPr>
                <w:rFonts w:ascii="Aptos" w:hAnsi="Aptos"/>
                <w:color w:val="013844"/>
                <w:sz w:val="20"/>
                <w:szCs w:val="20"/>
              </w:rPr>
            </w:pPr>
          </w:p>
        </w:tc>
        <w:tc>
          <w:tcPr>
            <w:tcW w:w="0" w:type="auto"/>
            <w:vAlign w:val="center"/>
            <w:hideMark/>
          </w:tcPr>
          <w:p w14:paraId="5860638A"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Actions, referrals, patient instructions, bookings</w:t>
            </w:r>
          </w:p>
        </w:tc>
      </w:tr>
      <w:tr w:rsidR="001A2B51" w:rsidRPr="00730379" w14:paraId="7F5B8D2C" w14:textId="77777777">
        <w:trPr>
          <w:tblCellSpacing w:w="15" w:type="dxa"/>
        </w:trPr>
        <w:tc>
          <w:tcPr>
            <w:tcW w:w="0" w:type="auto"/>
            <w:vAlign w:val="center"/>
            <w:hideMark/>
          </w:tcPr>
          <w:p w14:paraId="5BEC741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Quality checks</w:t>
            </w:r>
          </w:p>
        </w:tc>
        <w:tc>
          <w:tcPr>
            <w:tcW w:w="0" w:type="auto"/>
            <w:vAlign w:val="center"/>
            <w:hideMark/>
          </w:tcPr>
          <w:p w14:paraId="192E306F" w14:textId="77777777" w:rsidR="001A2B51" w:rsidRPr="00730379" w:rsidRDefault="001A2B51" w:rsidP="001A2B51">
            <w:pPr>
              <w:rPr>
                <w:rFonts w:ascii="Aptos" w:hAnsi="Aptos"/>
                <w:color w:val="013844"/>
                <w:sz w:val="20"/>
                <w:szCs w:val="20"/>
              </w:rPr>
            </w:pPr>
          </w:p>
        </w:tc>
        <w:tc>
          <w:tcPr>
            <w:tcW w:w="0" w:type="auto"/>
            <w:vAlign w:val="center"/>
            <w:hideMark/>
          </w:tcPr>
          <w:p w14:paraId="1C04CDE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What will be reviewed at 30 and 90 days</w:t>
            </w:r>
          </w:p>
        </w:tc>
      </w:tr>
    </w:tbl>
    <w:p w14:paraId="7643E005"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4.4 Escalation and deterioration recognition</w:t>
      </w:r>
    </w:p>
    <w:p w14:paraId="24F61694"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Escalation must be explicit, rehearsed, and easy to follow under pressure. At minimum, define:</w:t>
      </w:r>
    </w:p>
    <w:p w14:paraId="0FCD01DD" w14:textId="77777777" w:rsidR="001A2B51" w:rsidRPr="00730379" w:rsidRDefault="001A2B51" w:rsidP="001A2B51">
      <w:pPr>
        <w:numPr>
          <w:ilvl w:val="0"/>
          <w:numId w:val="10"/>
        </w:numPr>
        <w:rPr>
          <w:rFonts w:ascii="Aptos" w:hAnsi="Aptos"/>
          <w:color w:val="013844"/>
          <w:sz w:val="22"/>
          <w:szCs w:val="22"/>
        </w:rPr>
      </w:pPr>
      <w:r w:rsidRPr="00730379">
        <w:rPr>
          <w:rFonts w:ascii="Aptos" w:hAnsi="Aptos"/>
          <w:color w:val="013844"/>
          <w:sz w:val="22"/>
          <w:szCs w:val="22"/>
        </w:rPr>
        <w:t>what constitutes deterioration or a “red flag” in each use case</w:t>
      </w:r>
    </w:p>
    <w:p w14:paraId="46CD2372" w14:textId="77777777" w:rsidR="001A2B51" w:rsidRPr="00730379" w:rsidRDefault="001A2B51" w:rsidP="001A2B51">
      <w:pPr>
        <w:numPr>
          <w:ilvl w:val="0"/>
          <w:numId w:val="10"/>
        </w:numPr>
        <w:rPr>
          <w:rFonts w:ascii="Aptos" w:hAnsi="Aptos"/>
          <w:color w:val="013844"/>
          <w:sz w:val="22"/>
          <w:szCs w:val="22"/>
        </w:rPr>
      </w:pPr>
      <w:r w:rsidRPr="00730379">
        <w:rPr>
          <w:rFonts w:ascii="Aptos" w:hAnsi="Aptos"/>
          <w:color w:val="013844"/>
          <w:sz w:val="22"/>
          <w:szCs w:val="22"/>
        </w:rPr>
        <w:t>who has authority to escalate (staff, clinicians, and in some models the patient or carer)</w:t>
      </w:r>
    </w:p>
    <w:p w14:paraId="46D5B40A" w14:textId="77777777" w:rsidR="001A2B51" w:rsidRPr="00730379" w:rsidRDefault="001A2B51" w:rsidP="001A2B51">
      <w:pPr>
        <w:numPr>
          <w:ilvl w:val="0"/>
          <w:numId w:val="10"/>
        </w:numPr>
        <w:rPr>
          <w:rFonts w:ascii="Aptos" w:hAnsi="Aptos"/>
          <w:color w:val="013844"/>
          <w:sz w:val="22"/>
          <w:szCs w:val="22"/>
        </w:rPr>
      </w:pPr>
      <w:r w:rsidRPr="00730379">
        <w:rPr>
          <w:rFonts w:ascii="Aptos" w:hAnsi="Aptos"/>
          <w:color w:val="013844"/>
          <w:sz w:val="22"/>
          <w:szCs w:val="22"/>
        </w:rPr>
        <w:t>where escalation goes during business hours and after hours</w:t>
      </w:r>
    </w:p>
    <w:p w14:paraId="0F68C57E" w14:textId="77777777" w:rsidR="001A2B51" w:rsidRPr="00730379" w:rsidRDefault="001A2B51" w:rsidP="001A2B51">
      <w:pPr>
        <w:numPr>
          <w:ilvl w:val="0"/>
          <w:numId w:val="10"/>
        </w:numPr>
        <w:rPr>
          <w:rFonts w:ascii="Aptos" w:hAnsi="Aptos"/>
          <w:color w:val="013844"/>
          <w:sz w:val="22"/>
          <w:szCs w:val="22"/>
        </w:rPr>
      </w:pPr>
      <w:r w:rsidRPr="00730379">
        <w:rPr>
          <w:rFonts w:ascii="Aptos" w:hAnsi="Aptos"/>
          <w:color w:val="013844"/>
          <w:sz w:val="22"/>
          <w:szCs w:val="22"/>
        </w:rPr>
        <w:t>what documentation is required for the escalation and handover</w:t>
      </w:r>
    </w:p>
    <w:p w14:paraId="416D2ECB"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lastRenderedPageBreak/>
        <w:t xml:space="preserve">This aligns with national expectations that deterioration is recognised early and escalated appropriately, and with practical NSW guidance that escalation pathways must be clearly documented and communicated. </w:t>
      </w:r>
    </w:p>
    <w:p w14:paraId="14A8E82F"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4.5 Documentation and communicating for safety</w:t>
      </w:r>
    </w:p>
    <w:p w14:paraId="2EDFFCA9"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For each use case, define a “single source of truth” for documentation (usually the patient clinical record) and how information is handed over across teams. Documentation expectations do not reduce in virtual care, and the safety risk is usually higher when information is split across systems or informal channels. </w:t>
      </w:r>
    </w:p>
    <w:p w14:paraId="61ECB1F7"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Where images or device outputs are used, specify where they are stored, who can access them, and how long they are retained, consistent with the organisation’s privacy obligations. </w:t>
      </w:r>
    </w:p>
    <w:p w14:paraId="50743103"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4.6 Consent and privacy integration</w:t>
      </w:r>
    </w:p>
    <w:p w14:paraId="14892998"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Consent should be obtained before the consult and recorded. The workflow should also address who else may be present (family, interpreters, support people) and how that is confirmed with the patient at the start of the consult. </w:t>
      </w:r>
    </w:p>
    <w:p w14:paraId="6D0D561A"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Privacy considerations should be built into the workflow rather than treated as a separate policy reminder, consistent with OAIC guidance for health service providers. </w:t>
      </w:r>
    </w:p>
    <w:p w14:paraId="33AD11E4"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4.7 External clinician touchpoints (GPs, specialists, partner services)</w:t>
      </w:r>
    </w:p>
    <w:p w14:paraId="119427C8" w14:textId="5ED92868"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If external clinicians will join sessions, define a lightweight onboarding pathway: invitation, a scheduled test call, and a clear “how sessions are booked” process. </w:t>
      </w:r>
      <w:hyperlink r:id="rId13" w:history="1">
        <w:r w:rsidRPr="00730379">
          <w:rPr>
            <w:rStyle w:val="Hyperlink"/>
            <w:rFonts w:ascii="Aptos" w:hAnsi="Aptos"/>
            <w:color w:val="013844"/>
            <w:sz w:val="22"/>
            <w:szCs w:val="22"/>
          </w:rPr>
          <w:t>NSW virtual care implementation guidance</w:t>
        </w:r>
      </w:hyperlink>
      <w:r w:rsidRPr="00730379">
        <w:rPr>
          <w:rFonts w:ascii="Aptos" w:hAnsi="Aptos"/>
          <w:color w:val="013844"/>
          <w:sz w:val="22"/>
          <w:szCs w:val="22"/>
        </w:rPr>
        <w:t xml:space="preserve"> supports contacting local virtual care leads and establishing consistent service pathways as part of implementation. </w:t>
      </w:r>
    </w:p>
    <w:p w14:paraId="7BC6CFDC" w14:textId="06D8B14B"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 xml:space="preserve">4.8 Sign-off checkpoint </w:t>
      </w:r>
    </w:p>
    <w:p w14:paraId="15213192"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The site should not proceed to go-live until the following are signed off:</w:t>
      </w:r>
    </w:p>
    <w:p w14:paraId="35777140" w14:textId="77777777" w:rsidR="001A2B51" w:rsidRPr="00730379" w:rsidRDefault="001A2B51" w:rsidP="001A2B51">
      <w:pPr>
        <w:numPr>
          <w:ilvl w:val="0"/>
          <w:numId w:val="11"/>
        </w:numPr>
        <w:rPr>
          <w:rFonts w:ascii="Aptos" w:hAnsi="Aptos"/>
          <w:color w:val="013844"/>
          <w:sz w:val="22"/>
          <w:szCs w:val="22"/>
        </w:rPr>
      </w:pPr>
      <w:r w:rsidRPr="00730379">
        <w:rPr>
          <w:rFonts w:ascii="Aptos" w:hAnsi="Aptos"/>
          <w:b/>
          <w:bCs/>
          <w:color w:val="013844"/>
          <w:sz w:val="22"/>
          <w:szCs w:val="22"/>
        </w:rPr>
        <w:t>Clinical Lead sign-off</w:t>
      </w:r>
      <w:r w:rsidRPr="00730379">
        <w:rPr>
          <w:rFonts w:ascii="Aptos" w:hAnsi="Aptos"/>
          <w:color w:val="013844"/>
          <w:sz w:val="22"/>
          <w:szCs w:val="22"/>
        </w:rPr>
        <w:t xml:space="preserve"> that each Phase 1 use case has an agreed minimum safe workflow, appropriateness rules, consent method, documentation expectations, and escalation pathway. </w:t>
      </w:r>
    </w:p>
    <w:p w14:paraId="42407B77" w14:textId="77777777" w:rsidR="001A2B51" w:rsidRPr="00730379" w:rsidRDefault="001A2B51" w:rsidP="001A2B51">
      <w:pPr>
        <w:numPr>
          <w:ilvl w:val="0"/>
          <w:numId w:val="11"/>
        </w:numPr>
        <w:rPr>
          <w:rFonts w:ascii="Aptos" w:hAnsi="Aptos"/>
          <w:color w:val="013844"/>
          <w:sz w:val="22"/>
          <w:szCs w:val="22"/>
        </w:rPr>
      </w:pPr>
      <w:r w:rsidRPr="00730379">
        <w:rPr>
          <w:rFonts w:ascii="Aptos" w:hAnsi="Aptos"/>
          <w:b/>
          <w:bCs/>
          <w:color w:val="013844"/>
          <w:sz w:val="22"/>
          <w:szCs w:val="22"/>
        </w:rPr>
        <w:t>IT Lead sign-off</w:t>
      </w:r>
      <w:r w:rsidRPr="00730379">
        <w:rPr>
          <w:rFonts w:ascii="Aptos" w:hAnsi="Aptos"/>
          <w:color w:val="013844"/>
          <w:sz w:val="22"/>
          <w:szCs w:val="22"/>
        </w:rPr>
        <w:t xml:space="preserve"> that connectivity, access, and required devices are ready for testing and training.</w:t>
      </w:r>
    </w:p>
    <w:p w14:paraId="3ECD6E8E" w14:textId="77777777" w:rsidR="001A2B51" w:rsidRPr="00730379" w:rsidRDefault="001A2B51" w:rsidP="001A2B51">
      <w:pPr>
        <w:numPr>
          <w:ilvl w:val="0"/>
          <w:numId w:val="11"/>
        </w:numPr>
        <w:rPr>
          <w:rFonts w:ascii="Aptos" w:hAnsi="Aptos"/>
          <w:color w:val="013844"/>
          <w:sz w:val="22"/>
          <w:szCs w:val="22"/>
        </w:rPr>
      </w:pPr>
      <w:r w:rsidRPr="00730379">
        <w:rPr>
          <w:rFonts w:ascii="Aptos" w:hAnsi="Aptos"/>
          <w:b/>
          <w:bCs/>
          <w:color w:val="013844"/>
          <w:sz w:val="22"/>
          <w:szCs w:val="22"/>
        </w:rPr>
        <w:t>Project Lead sign-off</w:t>
      </w:r>
      <w:r w:rsidRPr="00730379">
        <w:rPr>
          <w:rFonts w:ascii="Aptos" w:hAnsi="Aptos"/>
          <w:color w:val="013844"/>
          <w:sz w:val="22"/>
          <w:szCs w:val="22"/>
        </w:rPr>
        <w:t xml:space="preserve"> that operational responsibilities are allocated and that the training plan in Section 8 can be delivered as scheduled.</w:t>
      </w:r>
    </w:p>
    <w:p w14:paraId="6A170DC2"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Sign-off record</w:t>
      </w:r>
      <w:r w:rsidRPr="00730379">
        <w:rPr>
          <w:rFonts w:ascii="Aptos" w:hAnsi="Aptos"/>
          <w:color w:val="013844"/>
          <w:sz w:val="22"/>
          <w:szCs w:val="22"/>
        </w:rPr>
        <w:br/>
        <w:t xml:space="preserve">Clinical Lead: 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r>
      <w:r w:rsidRPr="00730379">
        <w:rPr>
          <w:rFonts w:ascii="Aptos" w:hAnsi="Aptos"/>
          <w:color w:val="013844"/>
          <w:sz w:val="22"/>
          <w:szCs w:val="22"/>
        </w:rPr>
        <w:lastRenderedPageBreak/>
        <w:t xml:space="preserve">IT Lead: 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Project Lead: __________________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3954BA8C" w14:textId="77777777" w:rsidR="001A2B51" w:rsidRPr="00730379" w:rsidRDefault="001A2B51">
      <w:pPr>
        <w:rPr>
          <w:rFonts w:ascii="Aptos" w:hAnsi="Aptos"/>
          <w:color w:val="013844"/>
          <w:sz w:val="22"/>
          <w:szCs w:val="22"/>
        </w:rPr>
      </w:pPr>
    </w:p>
    <w:p w14:paraId="35115C9C" w14:textId="5A160F15" w:rsidR="001A2B51" w:rsidRPr="00730379" w:rsidRDefault="00221760" w:rsidP="001A2B51">
      <w:pPr>
        <w:pStyle w:val="Heading2"/>
        <w:rPr>
          <w:rFonts w:ascii="Aptos" w:hAnsi="Aptos"/>
          <w:color w:val="013844"/>
        </w:rPr>
      </w:pPr>
      <w:bookmarkStart w:id="4" w:name="_Toc219805098"/>
      <w:r w:rsidRPr="00730379">
        <w:rPr>
          <w:rFonts w:ascii="Aptos" w:hAnsi="Aptos"/>
          <w:color w:val="013844"/>
          <w:sz w:val="24"/>
          <w:szCs w:val="24"/>
        </w:rPr>
        <w:t>SECTION 5</w:t>
      </w:r>
      <w:r w:rsidRPr="00730379">
        <w:rPr>
          <w:rFonts w:ascii="Aptos" w:hAnsi="Aptos"/>
          <w:color w:val="013844"/>
          <w:sz w:val="28"/>
          <w:szCs w:val="28"/>
        </w:rPr>
        <w:t xml:space="preserve"> </w:t>
      </w:r>
      <w:r w:rsidRPr="00730379">
        <w:rPr>
          <w:rFonts w:ascii="Aptos" w:hAnsi="Aptos"/>
          <w:color w:val="013844"/>
          <w:sz w:val="28"/>
          <w:szCs w:val="28"/>
        </w:rPr>
        <w:br/>
      </w:r>
      <w:r w:rsidR="001A2B51" w:rsidRPr="00BA74CE">
        <w:rPr>
          <w:rFonts w:ascii="Aptos" w:hAnsi="Aptos"/>
          <w:b/>
          <w:bCs/>
          <w:color w:val="013844"/>
        </w:rPr>
        <w:t>Technical deployment and validation</w:t>
      </w:r>
      <w:bookmarkEnd w:id="4"/>
    </w:p>
    <w:p w14:paraId="761A8B62"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5.1 Objective</w:t>
      </w:r>
    </w:p>
    <w:p w14:paraId="73623013"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Deploy and validate the Visionflex solution at [Site] so Phase 1 use cases can run reliably, including under “real world” conditions such as variable bandwidth, shared Wi-Fi, and mobile coverage. The outcome of this section is a documented technical sign-off that confirms the site is ready for training, go-live, and </w:t>
      </w:r>
      <w:proofErr w:type="spellStart"/>
      <w:r w:rsidRPr="00730379">
        <w:rPr>
          <w:rFonts w:ascii="Aptos" w:hAnsi="Aptos"/>
          <w:color w:val="013844"/>
          <w:sz w:val="22"/>
          <w:szCs w:val="22"/>
        </w:rPr>
        <w:t>hypercare</w:t>
      </w:r>
      <w:proofErr w:type="spellEnd"/>
      <w:r w:rsidRPr="00730379">
        <w:rPr>
          <w:rFonts w:ascii="Aptos" w:hAnsi="Aptos"/>
          <w:color w:val="013844"/>
          <w:sz w:val="22"/>
          <w:szCs w:val="22"/>
        </w:rPr>
        <w:t xml:space="preserve">. </w:t>
      </w:r>
    </w:p>
    <w:p w14:paraId="18DB4450"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5.2 Technical build and asset control</w:t>
      </w:r>
    </w:p>
    <w:p w14:paraId="2ED86AD5"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The Project Lead and IT Lead should maintain a simple asset register that records the location, custodian, and serial numbers for all deployed devices and peripherals. This reduces delays during go-live and enables faster troubleshooting when equipment is moved between rooms, outreach vehicles, or sites.</w:t>
      </w:r>
    </w:p>
    <w:p w14:paraId="3F8748F1"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For the build, </w:t>
      </w:r>
      <w:proofErr w:type="gramStart"/>
      <w:r w:rsidRPr="00730379">
        <w:rPr>
          <w:rFonts w:ascii="Aptos" w:hAnsi="Aptos"/>
          <w:color w:val="013844"/>
          <w:sz w:val="22"/>
          <w:szCs w:val="22"/>
        </w:rPr>
        <w:t>confirm:</w:t>
      </w:r>
      <w:proofErr w:type="gramEnd"/>
      <w:r w:rsidRPr="00730379">
        <w:rPr>
          <w:rFonts w:ascii="Aptos" w:hAnsi="Aptos"/>
          <w:color w:val="013844"/>
          <w:sz w:val="22"/>
          <w:szCs w:val="22"/>
        </w:rPr>
        <w:t xml:space="preserve"> device configuration, peripheral pairing, user access, and any local security requirements. If the customer requires their own standard operating environment build, schedule this early because it affects drivers, peripheral connectivity, and testing outcomes.</w:t>
      </w:r>
    </w:p>
    <w:p w14:paraId="44061E0B"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Where the deployment includes mobile or outreach, include a field for “transport and storage” so equipment handling is consistent and safe.</w:t>
      </w:r>
    </w:p>
    <w:p w14:paraId="39BB5354" w14:textId="6BC23C93"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(ADHA and NSW ACI virtual care guidance (see References) both emphasise clear technical readiness and suitability checks as part of safe implementation.) </w:t>
      </w:r>
    </w:p>
    <w:p w14:paraId="6278945B"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5.3 Connectivity and environment validation</w:t>
      </w:r>
    </w:p>
    <w:p w14:paraId="46E054E7"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Connectivity is a common hidden failure point in clinics and remote settings, so validate it explicitly rather than assuming the network is adequate.</w:t>
      </w:r>
    </w:p>
    <w:p w14:paraId="272606B3"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NSW ACI virtual care guidance (see References) provides a useful baseline for clinical video consultations, including a minimum recommended upload speed of 512 kbps, with higher speeds improving reliability and quality. </w:t>
      </w:r>
    </w:p>
    <w:p w14:paraId="78DBC044"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At minimum, validate:</w:t>
      </w:r>
    </w:p>
    <w:p w14:paraId="216BD63C" w14:textId="77777777" w:rsidR="001A2B51" w:rsidRPr="00730379" w:rsidRDefault="001A2B51" w:rsidP="001A2B51">
      <w:pPr>
        <w:numPr>
          <w:ilvl w:val="0"/>
          <w:numId w:val="12"/>
        </w:numPr>
        <w:rPr>
          <w:rFonts w:ascii="Aptos" w:hAnsi="Aptos"/>
          <w:color w:val="013844"/>
          <w:sz w:val="22"/>
          <w:szCs w:val="22"/>
        </w:rPr>
      </w:pPr>
      <w:r w:rsidRPr="00730379">
        <w:rPr>
          <w:rFonts w:ascii="Aptos" w:hAnsi="Aptos"/>
          <w:color w:val="013844"/>
          <w:sz w:val="22"/>
          <w:szCs w:val="22"/>
        </w:rPr>
        <w:t>the consultation location (Wi-Fi signal strength, contention at peak times, and whether a wired option exists)</w:t>
      </w:r>
    </w:p>
    <w:p w14:paraId="41067411" w14:textId="77777777" w:rsidR="001A2B51" w:rsidRPr="00730379" w:rsidRDefault="001A2B51" w:rsidP="001A2B51">
      <w:pPr>
        <w:numPr>
          <w:ilvl w:val="0"/>
          <w:numId w:val="12"/>
        </w:numPr>
        <w:rPr>
          <w:rFonts w:ascii="Aptos" w:hAnsi="Aptos"/>
          <w:color w:val="013844"/>
          <w:sz w:val="22"/>
          <w:szCs w:val="22"/>
        </w:rPr>
      </w:pPr>
      <w:r w:rsidRPr="00730379">
        <w:rPr>
          <w:rFonts w:ascii="Aptos" w:hAnsi="Aptos"/>
          <w:color w:val="013844"/>
          <w:sz w:val="22"/>
          <w:szCs w:val="22"/>
        </w:rPr>
        <w:lastRenderedPageBreak/>
        <w:t>firewall and network constraints that may impact video calls</w:t>
      </w:r>
    </w:p>
    <w:p w14:paraId="2F9F99D3" w14:textId="77777777" w:rsidR="001A2B51" w:rsidRPr="00730379" w:rsidRDefault="001A2B51" w:rsidP="001A2B51">
      <w:pPr>
        <w:numPr>
          <w:ilvl w:val="0"/>
          <w:numId w:val="12"/>
        </w:numPr>
        <w:rPr>
          <w:rFonts w:ascii="Aptos" w:hAnsi="Aptos"/>
          <w:color w:val="013844"/>
          <w:sz w:val="22"/>
          <w:szCs w:val="22"/>
        </w:rPr>
      </w:pPr>
      <w:r w:rsidRPr="00730379">
        <w:rPr>
          <w:rFonts w:ascii="Aptos" w:hAnsi="Aptos"/>
          <w:color w:val="013844"/>
          <w:sz w:val="22"/>
          <w:szCs w:val="22"/>
        </w:rPr>
        <w:t>the fallback pathway for low bandwidth (for example, switch to audio-only or telephone, then reschedule video when clinically appropriate)</w:t>
      </w:r>
    </w:p>
    <w:p w14:paraId="18DD11D7" w14:textId="77777777" w:rsidR="001A2B51" w:rsidRPr="00730379" w:rsidRDefault="001A2B51" w:rsidP="001A2B51">
      <w:pPr>
        <w:numPr>
          <w:ilvl w:val="0"/>
          <w:numId w:val="12"/>
        </w:numPr>
        <w:rPr>
          <w:rFonts w:ascii="Aptos" w:hAnsi="Aptos"/>
          <w:color w:val="013844"/>
          <w:sz w:val="22"/>
          <w:szCs w:val="22"/>
        </w:rPr>
      </w:pPr>
      <w:r w:rsidRPr="00730379">
        <w:rPr>
          <w:rFonts w:ascii="Aptos" w:hAnsi="Aptos"/>
          <w:color w:val="013844"/>
          <w:sz w:val="22"/>
          <w:szCs w:val="22"/>
        </w:rPr>
        <w:t xml:space="preserve">the environment for privacy (door, signage, sound bleed, camera positioning), because room setup is part of confidentiality and patient trust </w:t>
      </w:r>
    </w:p>
    <w:p w14:paraId="740224F1"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5.4 Identity, access, and user setup</w:t>
      </w:r>
    </w:p>
    <w:p w14:paraId="11502877"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Confirm how users will authenticate, which roles have access, and how accounts are managed when staff change. Define whether accounts are named or shared, and ensure the approach still supports auditability and safe use.</w:t>
      </w:r>
    </w:p>
    <w:p w14:paraId="4B2D1AE5"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Your minimum acceptance for go-live should include:</w:t>
      </w:r>
    </w:p>
    <w:p w14:paraId="1C6DAFD7" w14:textId="77777777" w:rsidR="001A2B51" w:rsidRPr="00730379" w:rsidRDefault="001A2B51" w:rsidP="001A2B51">
      <w:pPr>
        <w:numPr>
          <w:ilvl w:val="0"/>
          <w:numId w:val="13"/>
        </w:numPr>
        <w:rPr>
          <w:rFonts w:ascii="Aptos" w:hAnsi="Aptos"/>
          <w:color w:val="013844"/>
          <w:sz w:val="22"/>
          <w:szCs w:val="22"/>
        </w:rPr>
      </w:pPr>
      <w:r w:rsidRPr="00730379">
        <w:rPr>
          <w:rFonts w:ascii="Aptos" w:hAnsi="Aptos"/>
          <w:color w:val="013844"/>
          <w:sz w:val="22"/>
          <w:szCs w:val="22"/>
        </w:rPr>
        <w:t>role-based access agreed by IT and Clinical Lead</w:t>
      </w:r>
    </w:p>
    <w:p w14:paraId="36FF8D1E" w14:textId="77777777" w:rsidR="001A2B51" w:rsidRPr="00730379" w:rsidRDefault="001A2B51" w:rsidP="001A2B51">
      <w:pPr>
        <w:numPr>
          <w:ilvl w:val="0"/>
          <w:numId w:val="13"/>
        </w:numPr>
        <w:rPr>
          <w:rFonts w:ascii="Aptos" w:hAnsi="Aptos"/>
          <w:color w:val="013844"/>
          <w:sz w:val="22"/>
          <w:szCs w:val="22"/>
        </w:rPr>
      </w:pPr>
      <w:r w:rsidRPr="00730379">
        <w:rPr>
          <w:rFonts w:ascii="Aptos" w:hAnsi="Aptos"/>
          <w:color w:val="013844"/>
          <w:sz w:val="22"/>
          <w:szCs w:val="22"/>
        </w:rPr>
        <w:t>a clear process for onboarding and offboarding users</w:t>
      </w:r>
    </w:p>
    <w:p w14:paraId="04D592B7" w14:textId="77777777" w:rsidR="001A2B51" w:rsidRPr="00730379" w:rsidRDefault="001A2B51" w:rsidP="001A2B51">
      <w:pPr>
        <w:numPr>
          <w:ilvl w:val="0"/>
          <w:numId w:val="13"/>
        </w:numPr>
        <w:rPr>
          <w:rFonts w:ascii="Aptos" w:hAnsi="Aptos"/>
          <w:color w:val="013844"/>
          <w:sz w:val="22"/>
          <w:szCs w:val="22"/>
        </w:rPr>
      </w:pPr>
      <w:r w:rsidRPr="00730379">
        <w:rPr>
          <w:rFonts w:ascii="Aptos" w:hAnsi="Aptos"/>
          <w:color w:val="013844"/>
          <w:sz w:val="22"/>
          <w:szCs w:val="22"/>
        </w:rPr>
        <w:t>published support contacts and escalation path for technical incidents</w:t>
      </w:r>
    </w:p>
    <w:p w14:paraId="106A2FA7"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(ADHA provides standards and guidance for systems and technologies in virtual care services, including general requirements relevant to secure and reliable delivery.) </w:t>
      </w:r>
    </w:p>
    <w:p w14:paraId="54B2E3D9" w14:textId="77777777" w:rsidR="001A2B51" w:rsidRPr="00730379" w:rsidRDefault="001A2B51" w:rsidP="001A2B51">
      <w:pPr>
        <w:pStyle w:val="Heading3"/>
        <w:rPr>
          <w:rFonts w:ascii="Aptos" w:hAnsi="Aptos"/>
          <w:color w:val="013844"/>
          <w:sz w:val="24"/>
          <w:szCs w:val="24"/>
        </w:rPr>
      </w:pPr>
      <w:r w:rsidRPr="00730379">
        <w:rPr>
          <w:rFonts w:ascii="Aptos" w:hAnsi="Aptos"/>
          <w:color w:val="013844"/>
          <w:sz w:val="24"/>
          <w:szCs w:val="24"/>
        </w:rPr>
        <w:t>5.5 Privacy and security controls</w:t>
      </w:r>
    </w:p>
    <w:p w14:paraId="6DDBCEED"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The customer should confirm that virtual care technology is used in a way that protects health information. This includes room privacy, access controls, and safe handling of any images or captured outputs.</w:t>
      </w:r>
    </w:p>
    <w:p w14:paraId="249E44CC"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Two practical reference points you can cite in the kit:</w:t>
      </w:r>
    </w:p>
    <w:p w14:paraId="66C212C2" w14:textId="77777777" w:rsidR="001A2B51" w:rsidRPr="00730379" w:rsidRDefault="001A2B51" w:rsidP="001A2B51">
      <w:pPr>
        <w:numPr>
          <w:ilvl w:val="0"/>
          <w:numId w:val="14"/>
        </w:numPr>
        <w:rPr>
          <w:rFonts w:ascii="Aptos" w:hAnsi="Aptos"/>
          <w:color w:val="013844"/>
          <w:sz w:val="22"/>
          <w:szCs w:val="22"/>
        </w:rPr>
      </w:pPr>
      <w:r w:rsidRPr="00730379">
        <w:rPr>
          <w:rFonts w:ascii="Aptos" w:hAnsi="Aptos"/>
          <w:color w:val="013844"/>
          <w:sz w:val="22"/>
          <w:szCs w:val="22"/>
        </w:rPr>
        <w:t xml:space="preserve">OAIC’s Guide to health privacy (see References) (see References) for health service providers, which reinforces obligations when handling sensitive health information </w:t>
      </w:r>
    </w:p>
    <w:p w14:paraId="3E5695B6" w14:textId="77777777" w:rsidR="001A2B51" w:rsidRPr="00730379" w:rsidRDefault="001A2B51" w:rsidP="001A2B51">
      <w:pPr>
        <w:numPr>
          <w:ilvl w:val="0"/>
          <w:numId w:val="14"/>
        </w:numPr>
        <w:rPr>
          <w:rFonts w:ascii="Aptos" w:hAnsi="Aptos"/>
          <w:color w:val="013844"/>
          <w:sz w:val="22"/>
          <w:szCs w:val="22"/>
        </w:rPr>
      </w:pPr>
      <w:r w:rsidRPr="00730379">
        <w:rPr>
          <w:rFonts w:ascii="Aptos" w:hAnsi="Aptos"/>
          <w:color w:val="013844"/>
          <w:sz w:val="22"/>
          <w:szCs w:val="22"/>
        </w:rPr>
        <w:t xml:space="preserve">ADHA’s security guidance for online conferencing technologies, which helps organisations assess solutions and apply basic security controls </w:t>
      </w:r>
    </w:p>
    <w:p w14:paraId="1ABA3CEA" w14:textId="21C953F0" w:rsidR="001A2B51" w:rsidRPr="00730379" w:rsidRDefault="001A2B51" w:rsidP="002957B2">
      <w:pPr>
        <w:pStyle w:val="Heading3"/>
        <w:rPr>
          <w:rFonts w:ascii="Aptos" w:hAnsi="Aptos"/>
          <w:color w:val="013844"/>
          <w:sz w:val="24"/>
          <w:szCs w:val="24"/>
        </w:rPr>
      </w:pPr>
      <w:r w:rsidRPr="00730379">
        <w:rPr>
          <w:rFonts w:ascii="Aptos" w:hAnsi="Aptos"/>
          <w:color w:val="013844"/>
          <w:sz w:val="24"/>
          <w:szCs w:val="24"/>
        </w:rPr>
        <w:t>5.6 Test call procedure</w:t>
      </w:r>
    </w:p>
    <w:p w14:paraId="75BF8FA8" w14:textId="43A5D6C2"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ACI virtual care guidance (see References) recommends conducting a test call before the first appointment. The test can be completed by any trained team member and usually only needs to be done prior to the first appointment, unless there are changes to location, devices, or connectivity. </w:t>
      </w:r>
    </w:p>
    <w:p w14:paraId="50F71824"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Test call run sheet (template)</w:t>
      </w:r>
      <w:r w:rsidRPr="00730379">
        <w:rPr>
          <w:rFonts w:ascii="Aptos" w:hAnsi="Aptos"/>
          <w:color w:val="013844"/>
          <w:sz w:val="22"/>
          <w:szCs w:val="22"/>
        </w:rPr>
        <w:br/>
        <w:t>Record the results in the project log.</w:t>
      </w:r>
    </w:p>
    <w:p w14:paraId="3265FD83"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lastRenderedPageBreak/>
        <w:t>Test context</w:t>
      </w:r>
    </w:p>
    <w:p w14:paraId="0DBB5BAA" w14:textId="77777777" w:rsidR="001A2B51" w:rsidRPr="00730379" w:rsidRDefault="001A2B51" w:rsidP="001A2B51">
      <w:pPr>
        <w:numPr>
          <w:ilvl w:val="0"/>
          <w:numId w:val="15"/>
        </w:numPr>
        <w:rPr>
          <w:rFonts w:ascii="Aptos" w:hAnsi="Aptos"/>
          <w:color w:val="013844"/>
          <w:sz w:val="22"/>
          <w:szCs w:val="22"/>
        </w:rPr>
      </w:pPr>
      <w:r w:rsidRPr="00730379">
        <w:rPr>
          <w:rFonts w:ascii="Aptos" w:hAnsi="Aptos"/>
          <w:color w:val="013844"/>
          <w:sz w:val="22"/>
          <w:szCs w:val="22"/>
        </w:rPr>
        <w:t>Location: [room / outreach vehicle / in-home workflow]</w:t>
      </w:r>
    </w:p>
    <w:p w14:paraId="67B850C3" w14:textId="77777777" w:rsidR="001A2B51" w:rsidRPr="00730379" w:rsidRDefault="001A2B51" w:rsidP="001A2B51">
      <w:pPr>
        <w:numPr>
          <w:ilvl w:val="0"/>
          <w:numId w:val="15"/>
        </w:numPr>
        <w:rPr>
          <w:rFonts w:ascii="Aptos" w:hAnsi="Aptos"/>
          <w:color w:val="013844"/>
          <w:sz w:val="22"/>
          <w:szCs w:val="22"/>
        </w:rPr>
      </w:pPr>
      <w:r w:rsidRPr="00730379">
        <w:rPr>
          <w:rFonts w:ascii="Aptos" w:hAnsi="Aptos"/>
          <w:color w:val="013844"/>
          <w:sz w:val="22"/>
          <w:szCs w:val="22"/>
        </w:rPr>
        <w:t>Connection type: [Wi-Fi / Ethernet / 4G/5G hotspot]</w:t>
      </w:r>
    </w:p>
    <w:p w14:paraId="24FF3809" w14:textId="77777777" w:rsidR="001A2B51" w:rsidRPr="00730379" w:rsidRDefault="001A2B51" w:rsidP="001A2B51">
      <w:pPr>
        <w:numPr>
          <w:ilvl w:val="0"/>
          <w:numId w:val="15"/>
        </w:numPr>
        <w:rPr>
          <w:rFonts w:ascii="Aptos" w:hAnsi="Aptos"/>
          <w:color w:val="013844"/>
          <w:sz w:val="22"/>
          <w:szCs w:val="22"/>
        </w:rPr>
      </w:pPr>
      <w:r w:rsidRPr="00730379">
        <w:rPr>
          <w:rFonts w:ascii="Aptos" w:hAnsi="Aptos"/>
          <w:color w:val="013844"/>
          <w:sz w:val="22"/>
          <w:szCs w:val="22"/>
        </w:rPr>
        <w:t>Participants: [internal test user] + [external clinician or partner]</w:t>
      </w:r>
    </w:p>
    <w:p w14:paraId="6E157A06" w14:textId="77777777" w:rsidR="001A2B51" w:rsidRPr="00730379" w:rsidRDefault="001A2B51" w:rsidP="001A2B51">
      <w:pPr>
        <w:numPr>
          <w:ilvl w:val="0"/>
          <w:numId w:val="15"/>
        </w:numPr>
        <w:rPr>
          <w:rFonts w:ascii="Aptos" w:hAnsi="Aptos"/>
          <w:color w:val="013844"/>
          <w:sz w:val="22"/>
          <w:szCs w:val="22"/>
        </w:rPr>
      </w:pPr>
      <w:r w:rsidRPr="00730379">
        <w:rPr>
          <w:rFonts w:ascii="Aptos" w:hAnsi="Aptos"/>
          <w:color w:val="013844"/>
          <w:sz w:val="22"/>
          <w:szCs w:val="22"/>
        </w:rPr>
        <w:t>Use case: [UC1/UC2/UC3]</w:t>
      </w:r>
    </w:p>
    <w:p w14:paraId="48F72054"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Steps and pass criteria</w:t>
      </w:r>
    </w:p>
    <w:p w14:paraId="4BA022F0" w14:textId="77777777" w:rsidR="001A2B51" w:rsidRPr="00730379" w:rsidRDefault="001A2B51" w:rsidP="001A2B51">
      <w:pPr>
        <w:numPr>
          <w:ilvl w:val="0"/>
          <w:numId w:val="16"/>
        </w:numPr>
        <w:rPr>
          <w:rFonts w:ascii="Aptos" w:hAnsi="Aptos"/>
          <w:color w:val="013844"/>
          <w:sz w:val="22"/>
          <w:szCs w:val="22"/>
        </w:rPr>
      </w:pPr>
      <w:r w:rsidRPr="00730379">
        <w:rPr>
          <w:rFonts w:ascii="Aptos" w:hAnsi="Aptos"/>
          <w:color w:val="013844"/>
          <w:sz w:val="22"/>
          <w:szCs w:val="22"/>
        </w:rPr>
        <w:t>Join call successfully within 2 minutes (pass/fail)</w:t>
      </w:r>
    </w:p>
    <w:p w14:paraId="596924A8" w14:textId="77777777" w:rsidR="001A2B51" w:rsidRPr="00730379" w:rsidRDefault="001A2B51" w:rsidP="001A2B51">
      <w:pPr>
        <w:numPr>
          <w:ilvl w:val="0"/>
          <w:numId w:val="16"/>
        </w:numPr>
        <w:rPr>
          <w:rFonts w:ascii="Aptos" w:hAnsi="Aptos"/>
          <w:color w:val="013844"/>
          <w:sz w:val="22"/>
          <w:szCs w:val="22"/>
        </w:rPr>
      </w:pPr>
      <w:r w:rsidRPr="00730379">
        <w:rPr>
          <w:rFonts w:ascii="Aptos" w:hAnsi="Aptos"/>
          <w:color w:val="013844"/>
          <w:sz w:val="22"/>
          <w:szCs w:val="22"/>
        </w:rPr>
        <w:t>Video quality acceptable for the intended clinical use (pass/fail)</w:t>
      </w:r>
    </w:p>
    <w:p w14:paraId="31B02835" w14:textId="77777777" w:rsidR="001A2B51" w:rsidRPr="00730379" w:rsidRDefault="001A2B51" w:rsidP="001A2B51">
      <w:pPr>
        <w:numPr>
          <w:ilvl w:val="0"/>
          <w:numId w:val="16"/>
        </w:numPr>
        <w:rPr>
          <w:rFonts w:ascii="Aptos" w:hAnsi="Aptos"/>
          <w:color w:val="013844"/>
          <w:sz w:val="22"/>
          <w:szCs w:val="22"/>
        </w:rPr>
      </w:pPr>
      <w:r w:rsidRPr="00730379">
        <w:rPr>
          <w:rFonts w:ascii="Aptos" w:hAnsi="Aptos"/>
          <w:color w:val="013844"/>
          <w:sz w:val="22"/>
          <w:szCs w:val="22"/>
        </w:rPr>
        <w:t>Audio is clear with no persistent dropouts (pass/fail)</w:t>
      </w:r>
    </w:p>
    <w:p w14:paraId="4E0357AA" w14:textId="77777777" w:rsidR="001A2B51" w:rsidRPr="00730379" w:rsidRDefault="001A2B51" w:rsidP="001A2B51">
      <w:pPr>
        <w:numPr>
          <w:ilvl w:val="0"/>
          <w:numId w:val="16"/>
        </w:numPr>
        <w:rPr>
          <w:rFonts w:ascii="Aptos" w:hAnsi="Aptos"/>
          <w:color w:val="013844"/>
          <w:sz w:val="22"/>
          <w:szCs w:val="22"/>
        </w:rPr>
      </w:pPr>
      <w:r w:rsidRPr="00730379">
        <w:rPr>
          <w:rFonts w:ascii="Aptos" w:hAnsi="Aptos"/>
          <w:color w:val="013844"/>
          <w:sz w:val="22"/>
          <w:szCs w:val="22"/>
        </w:rPr>
        <w:t xml:space="preserve">Camera positioning supports clinical interaction and privacy (pass/fail) </w:t>
      </w:r>
    </w:p>
    <w:p w14:paraId="7146E980" w14:textId="77777777" w:rsidR="001A2B51" w:rsidRPr="00730379" w:rsidRDefault="001A2B51" w:rsidP="001A2B51">
      <w:pPr>
        <w:numPr>
          <w:ilvl w:val="0"/>
          <w:numId w:val="16"/>
        </w:numPr>
        <w:rPr>
          <w:rFonts w:ascii="Aptos" w:hAnsi="Aptos"/>
          <w:color w:val="013844"/>
          <w:sz w:val="22"/>
          <w:szCs w:val="22"/>
        </w:rPr>
      </w:pPr>
      <w:r w:rsidRPr="00730379">
        <w:rPr>
          <w:rFonts w:ascii="Aptos" w:hAnsi="Aptos"/>
          <w:color w:val="013844"/>
          <w:sz w:val="22"/>
          <w:szCs w:val="22"/>
        </w:rPr>
        <w:t>Peripheral check (if relevant): device connects, produces expected output, and data handling pathway is understood (pass/fail)</w:t>
      </w:r>
    </w:p>
    <w:p w14:paraId="4878BE0C" w14:textId="77777777" w:rsidR="001A2B51" w:rsidRPr="00730379" w:rsidRDefault="001A2B51" w:rsidP="001A2B51">
      <w:pPr>
        <w:numPr>
          <w:ilvl w:val="0"/>
          <w:numId w:val="16"/>
        </w:numPr>
        <w:rPr>
          <w:rFonts w:ascii="Aptos" w:hAnsi="Aptos"/>
          <w:color w:val="013844"/>
          <w:sz w:val="22"/>
          <w:szCs w:val="22"/>
        </w:rPr>
      </w:pPr>
      <w:r w:rsidRPr="00730379">
        <w:rPr>
          <w:rFonts w:ascii="Aptos" w:hAnsi="Aptos"/>
          <w:color w:val="013844"/>
          <w:sz w:val="22"/>
          <w:szCs w:val="22"/>
        </w:rPr>
        <w:t xml:space="preserve">Failover check: simulate a bandwidth drop and confirm the fallback workflow is understood (pass/fail) </w:t>
      </w:r>
    </w:p>
    <w:p w14:paraId="5B1FB796"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Outcome</w:t>
      </w:r>
    </w:p>
    <w:p w14:paraId="6AD2DE8A" w14:textId="77777777" w:rsidR="001A2B51" w:rsidRPr="00730379" w:rsidRDefault="001A2B51" w:rsidP="001A2B51">
      <w:pPr>
        <w:numPr>
          <w:ilvl w:val="0"/>
          <w:numId w:val="17"/>
        </w:numPr>
        <w:rPr>
          <w:rFonts w:ascii="Aptos" w:hAnsi="Aptos"/>
          <w:color w:val="013844"/>
          <w:sz w:val="22"/>
          <w:szCs w:val="22"/>
        </w:rPr>
      </w:pPr>
      <w:r w:rsidRPr="00730379">
        <w:rPr>
          <w:rFonts w:ascii="Aptos" w:hAnsi="Aptos"/>
          <w:color w:val="013844"/>
          <w:sz w:val="22"/>
          <w:szCs w:val="22"/>
        </w:rPr>
        <w:t>Result: [Pass / Pass with issues / Fail]</w:t>
      </w:r>
    </w:p>
    <w:p w14:paraId="36B0474C" w14:textId="77777777" w:rsidR="001A2B51" w:rsidRPr="00730379" w:rsidRDefault="001A2B51" w:rsidP="001A2B51">
      <w:pPr>
        <w:numPr>
          <w:ilvl w:val="0"/>
          <w:numId w:val="17"/>
        </w:numPr>
        <w:rPr>
          <w:rFonts w:ascii="Aptos" w:hAnsi="Aptos"/>
          <w:color w:val="013844"/>
          <w:sz w:val="22"/>
          <w:szCs w:val="22"/>
        </w:rPr>
      </w:pPr>
      <w:r w:rsidRPr="00730379">
        <w:rPr>
          <w:rFonts w:ascii="Aptos" w:hAnsi="Aptos"/>
          <w:color w:val="013844"/>
          <w:sz w:val="22"/>
          <w:szCs w:val="22"/>
        </w:rPr>
        <w:t>Issues and actions: [owner, due date]</w:t>
      </w:r>
    </w:p>
    <w:p w14:paraId="23AC0F7E" w14:textId="77777777" w:rsidR="001A2B51" w:rsidRPr="00730379" w:rsidRDefault="001A2B51" w:rsidP="001A2B51">
      <w:pPr>
        <w:numPr>
          <w:ilvl w:val="0"/>
          <w:numId w:val="17"/>
        </w:numPr>
        <w:rPr>
          <w:rFonts w:ascii="Aptos" w:hAnsi="Aptos"/>
          <w:color w:val="013844"/>
          <w:sz w:val="22"/>
          <w:szCs w:val="22"/>
        </w:rPr>
      </w:pPr>
      <w:r w:rsidRPr="00730379">
        <w:rPr>
          <w:rFonts w:ascii="Aptos" w:hAnsi="Aptos"/>
          <w:color w:val="013844"/>
          <w:sz w:val="22"/>
          <w:szCs w:val="22"/>
        </w:rPr>
        <w:t>Retest required: [Yes/No]</w:t>
      </w:r>
    </w:p>
    <w:p w14:paraId="1ADB294C" w14:textId="5B9A71B5" w:rsidR="001A2B51" w:rsidRPr="00730379" w:rsidRDefault="001A2B51" w:rsidP="002957B2">
      <w:pPr>
        <w:pStyle w:val="Heading3"/>
        <w:rPr>
          <w:rFonts w:ascii="Aptos" w:hAnsi="Aptos"/>
          <w:color w:val="013844"/>
          <w:sz w:val="24"/>
          <w:szCs w:val="24"/>
        </w:rPr>
      </w:pPr>
      <w:r w:rsidRPr="00730379">
        <w:rPr>
          <w:rFonts w:ascii="Aptos" w:hAnsi="Aptos"/>
          <w:color w:val="013844"/>
          <w:sz w:val="24"/>
          <w:szCs w:val="24"/>
        </w:rPr>
        <w:t>5.7 Technical readiness checklist</w:t>
      </w:r>
    </w:p>
    <w:p w14:paraId="64CBF7E3"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Use this as the formal “definition of done” for Section 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3"/>
        <w:gridCol w:w="4582"/>
        <w:gridCol w:w="1312"/>
        <w:gridCol w:w="666"/>
      </w:tblGrid>
      <w:tr w:rsidR="001A2B51" w:rsidRPr="00730379" w14:paraId="00332460" w14:textId="77777777">
        <w:trPr>
          <w:tblHeader/>
          <w:tblCellSpacing w:w="15" w:type="dxa"/>
        </w:trPr>
        <w:tc>
          <w:tcPr>
            <w:tcW w:w="0" w:type="auto"/>
            <w:vAlign w:val="center"/>
            <w:hideMark/>
          </w:tcPr>
          <w:p w14:paraId="7FF1B0E7"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Item</w:t>
            </w:r>
          </w:p>
        </w:tc>
        <w:tc>
          <w:tcPr>
            <w:tcW w:w="0" w:type="auto"/>
            <w:vAlign w:val="center"/>
            <w:hideMark/>
          </w:tcPr>
          <w:p w14:paraId="761C8E44"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Acceptance criteria</w:t>
            </w:r>
          </w:p>
        </w:tc>
        <w:tc>
          <w:tcPr>
            <w:tcW w:w="0" w:type="auto"/>
            <w:vAlign w:val="center"/>
            <w:hideMark/>
          </w:tcPr>
          <w:p w14:paraId="408ACCC0"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Owner</w:t>
            </w:r>
          </w:p>
        </w:tc>
        <w:tc>
          <w:tcPr>
            <w:tcW w:w="0" w:type="auto"/>
            <w:vAlign w:val="center"/>
            <w:hideMark/>
          </w:tcPr>
          <w:p w14:paraId="27DDB9F1" w14:textId="77777777" w:rsidR="001A2B51" w:rsidRPr="00730379" w:rsidRDefault="001A2B51" w:rsidP="001A2B51">
            <w:pPr>
              <w:rPr>
                <w:rFonts w:ascii="Aptos" w:hAnsi="Aptos"/>
                <w:b/>
                <w:bCs/>
                <w:color w:val="013844"/>
                <w:sz w:val="20"/>
                <w:szCs w:val="20"/>
              </w:rPr>
            </w:pPr>
            <w:r w:rsidRPr="00730379">
              <w:rPr>
                <w:rFonts w:ascii="Aptos" w:hAnsi="Aptos"/>
                <w:b/>
                <w:bCs/>
                <w:color w:val="013844"/>
                <w:sz w:val="20"/>
                <w:szCs w:val="20"/>
              </w:rPr>
              <w:t>Status</w:t>
            </w:r>
          </w:p>
        </w:tc>
      </w:tr>
      <w:tr w:rsidR="001A2B51" w:rsidRPr="00730379" w14:paraId="235EF19A" w14:textId="77777777">
        <w:trPr>
          <w:tblCellSpacing w:w="15" w:type="dxa"/>
        </w:trPr>
        <w:tc>
          <w:tcPr>
            <w:tcW w:w="0" w:type="auto"/>
            <w:vAlign w:val="center"/>
            <w:hideMark/>
          </w:tcPr>
          <w:p w14:paraId="450737D6"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Asset register complete</w:t>
            </w:r>
          </w:p>
        </w:tc>
        <w:tc>
          <w:tcPr>
            <w:tcW w:w="0" w:type="auto"/>
            <w:vAlign w:val="center"/>
            <w:hideMark/>
          </w:tcPr>
          <w:p w14:paraId="40F5F917"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All equipment recorded and assigned to a custodian</w:t>
            </w:r>
          </w:p>
        </w:tc>
        <w:tc>
          <w:tcPr>
            <w:tcW w:w="0" w:type="auto"/>
            <w:vAlign w:val="center"/>
            <w:hideMark/>
          </w:tcPr>
          <w:p w14:paraId="3761C23F"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IT Lead</w:t>
            </w:r>
          </w:p>
        </w:tc>
        <w:tc>
          <w:tcPr>
            <w:tcW w:w="0" w:type="auto"/>
            <w:vAlign w:val="center"/>
            <w:hideMark/>
          </w:tcPr>
          <w:p w14:paraId="3C65AB07" w14:textId="77777777" w:rsidR="001A2B51" w:rsidRPr="00730379" w:rsidRDefault="001A2B51" w:rsidP="001A2B51">
            <w:pPr>
              <w:rPr>
                <w:rFonts w:ascii="Aptos" w:hAnsi="Aptos"/>
                <w:color w:val="013844"/>
                <w:sz w:val="20"/>
                <w:szCs w:val="20"/>
              </w:rPr>
            </w:pPr>
          </w:p>
        </w:tc>
      </w:tr>
      <w:tr w:rsidR="001A2B51" w:rsidRPr="00730379" w14:paraId="456EE96E" w14:textId="77777777">
        <w:trPr>
          <w:tblCellSpacing w:w="15" w:type="dxa"/>
        </w:trPr>
        <w:tc>
          <w:tcPr>
            <w:tcW w:w="0" w:type="auto"/>
            <w:vAlign w:val="center"/>
            <w:hideMark/>
          </w:tcPr>
          <w:p w14:paraId="0C67746B"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Consultation location validated</w:t>
            </w:r>
          </w:p>
        </w:tc>
        <w:tc>
          <w:tcPr>
            <w:tcW w:w="0" w:type="auto"/>
            <w:vAlign w:val="center"/>
            <w:hideMark/>
          </w:tcPr>
          <w:p w14:paraId="77E9EDAE"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Suitable room setup and privacy controls in place</w:t>
            </w:r>
          </w:p>
        </w:tc>
        <w:tc>
          <w:tcPr>
            <w:tcW w:w="0" w:type="auto"/>
            <w:vAlign w:val="center"/>
            <w:hideMark/>
          </w:tcPr>
          <w:p w14:paraId="645030FB"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7374084A" w14:textId="77777777" w:rsidR="001A2B51" w:rsidRPr="00730379" w:rsidRDefault="001A2B51" w:rsidP="001A2B51">
            <w:pPr>
              <w:rPr>
                <w:rFonts w:ascii="Aptos" w:hAnsi="Aptos"/>
                <w:color w:val="013844"/>
                <w:sz w:val="20"/>
                <w:szCs w:val="20"/>
              </w:rPr>
            </w:pPr>
          </w:p>
        </w:tc>
      </w:tr>
      <w:tr w:rsidR="001A2B51" w:rsidRPr="00730379" w14:paraId="71366B25" w14:textId="77777777">
        <w:trPr>
          <w:tblCellSpacing w:w="15" w:type="dxa"/>
        </w:trPr>
        <w:tc>
          <w:tcPr>
            <w:tcW w:w="0" w:type="auto"/>
            <w:vAlign w:val="center"/>
            <w:hideMark/>
          </w:tcPr>
          <w:p w14:paraId="4AFE063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Connectivity validated</w:t>
            </w:r>
          </w:p>
        </w:tc>
        <w:tc>
          <w:tcPr>
            <w:tcW w:w="0" w:type="auto"/>
            <w:vAlign w:val="center"/>
            <w:hideMark/>
          </w:tcPr>
          <w:p w14:paraId="0E40487E"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Meets minimum baseline and performs under load</w:t>
            </w:r>
          </w:p>
        </w:tc>
        <w:tc>
          <w:tcPr>
            <w:tcW w:w="0" w:type="auto"/>
            <w:vAlign w:val="center"/>
            <w:hideMark/>
          </w:tcPr>
          <w:p w14:paraId="5329B036"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IT Lead</w:t>
            </w:r>
          </w:p>
        </w:tc>
        <w:tc>
          <w:tcPr>
            <w:tcW w:w="0" w:type="auto"/>
            <w:vAlign w:val="center"/>
            <w:hideMark/>
          </w:tcPr>
          <w:p w14:paraId="0159E86E" w14:textId="77777777" w:rsidR="001A2B51" w:rsidRPr="00730379" w:rsidRDefault="001A2B51" w:rsidP="001A2B51">
            <w:pPr>
              <w:rPr>
                <w:rFonts w:ascii="Aptos" w:hAnsi="Aptos"/>
                <w:color w:val="013844"/>
                <w:sz w:val="20"/>
                <w:szCs w:val="20"/>
              </w:rPr>
            </w:pPr>
          </w:p>
        </w:tc>
      </w:tr>
      <w:tr w:rsidR="001A2B51" w:rsidRPr="00730379" w14:paraId="65042A43" w14:textId="77777777">
        <w:trPr>
          <w:tblCellSpacing w:w="15" w:type="dxa"/>
        </w:trPr>
        <w:tc>
          <w:tcPr>
            <w:tcW w:w="0" w:type="auto"/>
            <w:vAlign w:val="center"/>
            <w:hideMark/>
          </w:tcPr>
          <w:p w14:paraId="4FB96A92"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Access and roles set</w:t>
            </w:r>
          </w:p>
        </w:tc>
        <w:tc>
          <w:tcPr>
            <w:tcW w:w="0" w:type="auto"/>
            <w:vAlign w:val="center"/>
            <w:hideMark/>
          </w:tcPr>
          <w:p w14:paraId="173A3949"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Users can log in; roles align with workflow</w:t>
            </w:r>
          </w:p>
        </w:tc>
        <w:tc>
          <w:tcPr>
            <w:tcW w:w="0" w:type="auto"/>
            <w:vAlign w:val="center"/>
            <w:hideMark/>
          </w:tcPr>
          <w:p w14:paraId="2FB45B9E"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IT Lead</w:t>
            </w:r>
          </w:p>
        </w:tc>
        <w:tc>
          <w:tcPr>
            <w:tcW w:w="0" w:type="auto"/>
            <w:vAlign w:val="center"/>
            <w:hideMark/>
          </w:tcPr>
          <w:p w14:paraId="352B9BC8" w14:textId="77777777" w:rsidR="001A2B51" w:rsidRPr="00730379" w:rsidRDefault="001A2B51" w:rsidP="001A2B51">
            <w:pPr>
              <w:rPr>
                <w:rFonts w:ascii="Aptos" w:hAnsi="Aptos"/>
                <w:color w:val="013844"/>
                <w:sz w:val="20"/>
                <w:szCs w:val="20"/>
              </w:rPr>
            </w:pPr>
          </w:p>
        </w:tc>
      </w:tr>
      <w:tr w:rsidR="001A2B51" w:rsidRPr="00730379" w14:paraId="6163A369" w14:textId="77777777">
        <w:trPr>
          <w:tblCellSpacing w:w="15" w:type="dxa"/>
        </w:trPr>
        <w:tc>
          <w:tcPr>
            <w:tcW w:w="0" w:type="auto"/>
            <w:vAlign w:val="center"/>
            <w:hideMark/>
          </w:tcPr>
          <w:p w14:paraId="6BD627AD"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Privacy and security reviewed</w:t>
            </w:r>
          </w:p>
        </w:tc>
        <w:tc>
          <w:tcPr>
            <w:tcW w:w="0" w:type="auto"/>
            <w:vAlign w:val="center"/>
            <w:hideMark/>
          </w:tcPr>
          <w:p w14:paraId="11BD01CD"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Local requirements addressed; guidance considered</w:t>
            </w:r>
          </w:p>
        </w:tc>
        <w:tc>
          <w:tcPr>
            <w:tcW w:w="0" w:type="auto"/>
            <w:vAlign w:val="center"/>
            <w:hideMark/>
          </w:tcPr>
          <w:p w14:paraId="1AFAC2F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Privacy Officer</w:t>
            </w:r>
          </w:p>
        </w:tc>
        <w:tc>
          <w:tcPr>
            <w:tcW w:w="0" w:type="auto"/>
            <w:vAlign w:val="center"/>
            <w:hideMark/>
          </w:tcPr>
          <w:p w14:paraId="2115EE4C" w14:textId="77777777" w:rsidR="001A2B51" w:rsidRPr="00730379" w:rsidRDefault="001A2B51" w:rsidP="001A2B51">
            <w:pPr>
              <w:rPr>
                <w:rFonts w:ascii="Aptos" w:hAnsi="Aptos"/>
                <w:color w:val="013844"/>
                <w:sz w:val="20"/>
                <w:szCs w:val="20"/>
              </w:rPr>
            </w:pPr>
          </w:p>
        </w:tc>
      </w:tr>
      <w:tr w:rsidR="001A2B51" w:rsidRPr="00730379" w14:paraId="641F9C7D" w14:textId="77777777">
        <w:trPr>
          <w:tblCellSpacing w:w="15" w:type="dxa"/>
        </w:trPr>
        <w:tc>
          <w:tcPr>
            <w:tcW w:w="0" w:type="auto"/>
            <w:vAlign w:val="center"/>
            <w:hideMark/>
          </w:tcPr>
          <w:p w14:paraId="4680F02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lastRenderedPageBreak/>
              <w:t>Test call completed</w:t>
            </w:r>
          </w:p>
        </w:tc>
        <w:tc>
          <w:tcPr>
            <w:tcW w:w="0" w:type="auto"/>
            <w:vAlign w:val="center"/>
            <w:hideMark/>
          </w:tcPr>
          <w:p w14:paraId="5B88D490"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End-to-end test passed for each Phase 1 use case</w:t>
            </w:r>
          </w:p>
        </w:tc>
        <w:tc>
          <w:tcPr>
            <w:tcW w:w="0" w:type="auto"/>
            <w:vAlign w:val="center"/>
            <w:hideMark/>
          </w:tcPr>
          <w:p w14:paraId="2B4F8975"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25590B9F" w14:textId="77777777" w:rsidR="001A2B51" w:rsidRPr="00730379" w:rsidRDefault="001A2B51" w:rsidP="001A2B51">
            <w:pPr>
              <w:rPr>
                <w:rFonts w:ascii="Aptos" w:hAnsi="Aptos"/>
                <w:color w:val="013844"/>
                <w:sz w:val="20"/>
                <w:szCs w:val="20"/>
              </w:rPr>
            </w:pPr>
          </w:p>
        </w:tc>
      </w:tr>
      <w:tr w:rsidR="001A2B51" w:rsidRPr="00730379" w14:paraId="6E39B227" w14:textId="77777777">
        <w:trPr>
          <w:tblCellSpacing w:w="15" w:type="dxa"/>
        </w:trPr>
        <w:tc>
          <w:tcPr>
            <w:tcW w:w="0" w:type="auto"/>
            <w:vAlign w:val="center"/>
            <w:hideMark/>
          </w:tcPr>
          <w:p w14:paraId="2BC35D6C"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Support pathway published</w:t>
            </w:r>
          </w:p>
        </w:tc>
        <w:tc>
          <w:tcPr>
            <w:tcW w:w="0" w:type="auto"/>
            <w:vAlign w:val="center"/>
            <w:hideMark/>
          </w:tcPr>
          <w:p w14:paraId="00E3D54D"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Staff know where to go for help and escalation</w:t>
            </w:r>
          </w:p>
        </w:tc>
        <w:tc>
          <w:tcPr>
            <w:tcW w:w="0" w:type="auto"/>
            <w:vAlign w:val="center"/>
            <w:hideMark/>
          </w:tcPr>
          <w:p w14:paraId="3F7A8F03" w14:textId="77777777" w:rsidR="001A2B51" w:rsidRPr="00730379" w:rsidRDefault="001A2B51" w:rsidP="001A2B51">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5BCD4E17" w14:textId="77777777" w:rsidR="001A2B51" w:rsidRPr="00730379" w:rsidRDefault="001A2B51" w:rsidP="001A2B51">
            <w:pPr>
              <w:rPr>
                <w:rFonts w:ascii="Aptos" w:hAnsi="Aptos"/>
                <w:color w:val="013844"/>
                <w:sz w:val="20"/>
                <w:szCs w:val="20"/>
              </w:rPr>
            </w:pPr>
          </w:p>
        </w:tc>
      </w:tr>
    </w:tbl>
    <w:p w14:paraId="36746E4A" w14:textId="77777777" w:rsidR="001A2B51" w:rsidRPr="00730379" w:rsidRDefault="001A2B51" w:rsidP="002957B2">
      <w:pPr>
        <w:pStyle w:val="Heading3"/>
        <w:rPr>
          <w:rFonts w:ascii="Aptos" w:hAnsi="Aptos"/>
          <w:color w:val="013844"/>
          <w:sz w:val="24"/>
          <w:szCs w:val="24"/>
        </w:rPr>
      </w:pPr>
      <w:r w:rsidRPr="00730379">
        <w:rPr>
          <w:rFonts w:ascii="Aptos" w:hAnsi="Aptos"/>
          <w:color w:val="013844"/>
          <w:sz w:val="24"/>
          <w:szCs w:val="24"/>
        </w:rPr>
        <w:t>5.8 Technical sign-off checkpoint</w:t>
      </w:r>
    </w:p>
    <w:p w14:paraId="2BB7EAEB" w14:textId="77777777" w:rsidR="001A2B51" w:rsidRPr="00730379" w:rsidRDefault="001A2B51" w:rsidP="001A2B51">
      <w:pPr>
        <w:rPr>
          <w:rFonts w:ascii="Aptos" w:hAnsi="Aptos"/>
          <w:color w:val="013844"/>
          <w:sz w:val="22"/>
          <w:szCs w:val="22"/>
        </w:rPr>
      </w:pPr>
      <w:r w:rsidRPr="00730379">
        <w:rPr>
          <w:rFonts w:ascii="Aptos" w:hAnsi="Aptos"/>
          <w:color w:val="013844"/>
          <w:sz w:val="22"/>
          <w:szCs w:val="22"/>
        </w:rPr>
        <w:t xml:space="preserve">The site proceeds to Section 6 (privacy and consent detail) and Section 8 (training delivery) once the IT Lead confirms technical readiness and the Project Lead confirms the test call outcomes are acceptable for the Phase 1 workflows. NSW and ADHA guidance both reinforce that implementation should include explicit readiness checks and safe delivery preparation, not just installation. </w:t>
      </w:r>
    </w:p>
    <w:p w14:paraId="49BC11A3" w14:textId="77777777" w:rsidR="001A2B51" w:rsidRPr="00730379" w:rsidRDefault="001A2B51" w:rsidP="001A2B51">
      <w:pPr>
        <w:rPr>
          <w:rFonts w:ascii="Aptos" w:hAnsi="Aptos"/>
          <w:color w:val="013844"/>
          <w:sz w:val="22"/>
          <w:szCs w:val="22"/>
        </w:rPr>
      </w:pPr>
      <w:r w:rsidRPr="00730379">
        <w:rPr>
          <w:rFonts w:ascii="Aptos" w:hAnsi="Aptos"/>
          <w:b/>
          <w:bCs/>
          <w:color w:val="013844"/>
          <w:sz w:val="22"/>
          <w:szCs w:val="22"/>
        </w:rPr>
        <w:t>Sign-off record</w:t>
      </w:r>
      <w:r w:rsidRPr="00730379">
        <w:rPr>
          <w:rFonts w:ascii="Aptos" w:hAnsi="Aptos"/>
          <w:color w:val="013844"/>
          <w:sz w:val="22"/>
          <w:szCs w:val="22"/>
        </w:rPr>
        <w:br/>
        <w:t xml:space="preserve">IT Lead: 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Project Lead: __________________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6FDE55B9" w14:textId="77777777" w:rsidR="007210F2" w:rsidRPr="00730379" w:rsidRDefault="007210F2" w:rsidP="007210F2">
      <w:pPr>
        <w:pStyle w:val="Heading2"/>
        <w:rPr>
          <w:rFonts w:ascii="Aptos" w:hAnsi="Aptos"/>
          <w:color w:val="013844"/>
          <w:sz w:val="28"/>
          <w:szCs w:val="28"/>
        </w:rPr>
      </w:pPr>
    </w:p>
    <w:p w14:paraId="4F105018" w14:textId="354787C0" w:rsidR="002957B2" w:rsidRPr="00730379" w:rsidRDefault="00221760" w:rsidP="007210F2">
      <w:pPr>
        <w:pStyle w:val="Heading2"/>
        <w:rPr>
          <w:rFonts w:ascii="Aptos" w:hAnsi="Aptos"/>
          <w:color w:val="013844"/>
        </w:rPr>
      </w:pPr>
      <w:bookmarkStart w:id="5" w:name="_Toc219805099"/>
      <w:r w:rsidRPr="00730379">
        <w:rPr>
          <w:rFonts w:ascii="Aptos" w:hAnsi="Aptos"/>
          <w:color w:val="013844"/>
          <w:sz w:val="24"/>
          <w:szCs w:val="24"/>
        </w:rPr>
        <w:t xml:space="preserve">SECTION 6 </w:t>
      </w:r>
      <w:r w:rsidRPr="00730379">
        <w:rPr>
          <w:rFonts w:ascii="Aptos" w:hAnsi="Aptos"/>
          <w:color w:val="013844"/>
          <w:sz w:val="24"/>
          <w:szCs w:val="24"/>
        </w:rPr>
        <w:br/>
      </w:r>
      <w:r w:rsidR="002957B2" w:rsidRPr="00BA74CE">
        <w:rPr>
          <w:rFonts w:ascii="Aptos" w:hAnsi="Aptos"/>
          <w:b/>
          <w:bCs/>
          <w:color w:val="013844"/>
        </w:rPr>
        <w:t>Privacy, consent, and information handling</w:t>
      </w:r>
      <w:bookmarkEnd w:id="5"/>
    </w:p>
    <w:p w14:paraId="3FDD907F" w14:textId="77777777"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6.1 Objective</w:t>
      </w:r>
    </w:p>
    <w:p w14:paraId="31FD2191"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Establish a practical, documented approach to privacy, consent, and information handling for virtual care at [Site], aligned to Australian privacy obligations for health service providers. This section is designed to be usable by clinics, ACCHOs, remote teams, corporate health settings, and mobile or in-home workflows. </w:t>
      </w:r>
    </w:p>
    <w:p w14:paraId="56FD91D0" w14:textId="77777777"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6.2 Privacy framework and responsibilities</w:t>
      </w:r>
    </w:p>
    <w:p w14:paraId="58CFC61B"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This implementation should align with the organisation’s privacy obligations under the Privacy Act 1988 and Australian Privacy Principles where applicable. The OAIC’s Guide to health privacy (see References) (see References) is an appropriate reference point for health service providers and should inform local procedures rather than sit on a shelf. </w:t>
      </w:r>
    </w:p>
    <w:p w14:paraId="35EFE914"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Responsibilities for this project:</w:t>
      </w:r>
    </w:p>
    <w:p w14:paraId="4FCD73FD" w14:textId="77777777" w:rsidR="002957B2" w:rsidRPr="00730379" w:rsidRDefault="002957B2" w:rsidP="002957B2">
      <w:pPr>
        <w:numPr>
          <w:ilvl w:val="0"/>
          <w:numId w:val="18"/>
        </w:numPr>
        <w:rPr>
          <w:rFonts w:ascii="Aptos" w:hAnsi="Aptos"/>
          <w:color w:val="013844"/>
          <w:sz w:val="22"/>
          <w:szCs w:val="22"/>
        </w:rPr>
      </w:pPr>
      <w:r w:rsidRPr="00730379">
        <w:rPr>
          <w:rFonts w:ascii="Aptos" w:hAnsi="Aptos"/>
          <w:color w:val="013844"/>
          <w:sz w:val="22"/>
          <w:szCs w:val="22"/>
        </w:rPr>
        <w:t>Privacy Officer (or delegate) confirms the local privacy approach, reviews risks, and approves the site’s privacy and consent artefacts.</w:t>
      </w:r>
    </w:p>
    <w:p w14:paraId="17E794F1" w14:textId="77777777" w:rsidR="002957B2" w:rsidRPr="00730379" w:rsidRDefault="002957B2" w:rsidP="002957B2">
      <w:pPr>
        <w:numPr>
          <w:ilvl w:val="0"/>
          <w:numId w:val="18"/>
        </w:numPr>
        <w:rPr>
          <w:rFonts w:ascii="Aptos" w:hAnsi="Aptos"/>
          <w:color w:val="013844"/>
          <w:sz w:val="22"/>
          <w:szCs w:val="22"/>
        </w:rPr>
      </w:pPr>
      <w:r w:rsidRPr="00730379">
        <w:rPr>
          <w:rFonts w:ascii="Aptos" w:hAnsi="Aptos"/>
          <w:color w:val="013844"/>
          <w:sz w:val="22"/>
          <w:szCs w:val="22"/>
        </w:rPr>
        <w:t>Clinical Lead ensures consent and information handling steps are built into the clinical workflow and are consistently applied.</w:t>
      </w:r>
    </w:p>
    <w:p w14:paraId="2A49A7D6" w14:textId="77777777" w:rsidR="002957B2" w:rsidRPr="00730379" w:rsidRDefault="002957B2" w:rsidP="002957B2">
      <w:pPr>
        <w:numPr>
          <w:ilvl w:val="0"/>
          <w:numId w:val="18"/>
        </w:numPr>
        <w:rPr>
          <w:rFonts w:ascii="Aptos" w:hAnsi="Aptos"/>
          <w:color w:val="013844"/>
          <w:sz w:val="22"/>
          <w:szCs w:val="22"/>
        </w:rPr>
      </w:pPr>
      <w:r w:rsidRPr="00730379">
        <w:rPr>
          <w:rFonts w:ascii="Aptos" w:hAnsi="Aptos"/>
          <w:color w:val="013844"/>
          <w:sz w:val="22"/>
          <w:szCs w:val="22"/>
        </w:rPr>
        <w:lastRenderedPageBreak/>
        <w:t xml:space="preserve">IT Lead ensures appropriate access controls and security configuration are in place, including secure use of online conferencing technology. </w:t>
      </w:r>
    </w:p>
    <w:p w14:paraId="66B87EC1" w14:textId="77777777"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6.3 Data flow and information register</w:t>
      </w:r>
    </w:p>
    <w:p w14:paraId="4EE38CED"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Create a short register that describes what information is handled during a virtual care encounter, where it is stored, and who can access it. This becomes the anchor for training and audits.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7"/>
        <w:gridCol w:w="1910"/>
        <w:gridCol w:w="2999"/>
        <w:gridCol w:w="1401"/>
        <w:gridCol w:w="1884"/>
      </w:tblGrid>
      <w:tr w:rsidR="002957B2" w:rsidRPr="00730379" w14:paraId="2793B515" w14:textId="77777777">
        <w:trPr>
          <w:tblHeader/>
          <w:tblCellSpacing w:w="15" w:type="dxa"/>
        </w:trPr>
        <w:tc>
          <w:tcPr>
            <w:tcW w:w="0" w:type="auto"/>
            <w:vAlign w:val="center"/>
            <w:hideMark/>
          </w:tcPr>
          <w:p w14:paraId="0AA23FA3" w14:textId="77777777" w:rsidR="002957B2" w:rsidRPr="00730379" w:rsidRDefault="002957B2" w:rsidP="002957B2">
            <w:pPr>
              <w:rPr>
                <w:rFonts w:ascii="Aptos" w:hAnsi="Aptos"/>
                <w:b/>
                <w:bCs/>
                <w:color w:val="013844"/>
                <w:sz w:val="22"/>
                <w:szCs w:val="22"/>
              </w:rPr>
            </w:pPr>
            <w:r w:rsidRPr="00730379">
              <w:rPr>
                <w:rFonts w:ascii="Aptos" w:hAnsi="Aptos"/>
                <w:b/>
                <w:bCs/>
                <w:color w:val="013844"/>
                <w:sz w:val="22"/>
                <w:szCs w:val="22"/>
              </w:rPr>
              <w:t>Information type</w:t>
            </w:r>
          </w:p>
        </w:tc>
        <w:tc>
          <w:tcPr>
            <w:tcW w:w="0" w:type="auto"/>
            <w:vAlign w:val="center"/>
            <w:hideMark/>
          </w:tcPr>
          <w:p w14:paraId="0D6FF409" w14:textId="77777777" w:rsidR="002957B2" w:rsidRPr="00730379" w:rsidRDefault="002957B2" w:rsidP="002957B2">
            <w:pPr>
              <w:rPr>
                <w:rFonts w:ascii="Aptos" w:hAnsi="Aptos"/>
                <w:b/>
                <w:bCs/>
                <w:color w:val="013844"/>
                <w:sz w:val="22"/>
                <w:szCs w:val="22"/>
              </w:rPr>
            </w:pPr>
            <w:r w:rsidRPr="00730379">
              <w:rPr>
                <w:rFonts w:ascii="Aptos" w:hAnsi="Aptos"/>
                <w:b/>
                <w:bCs/>
                <w:color w:val="013844"/>
                <w:sz w:val="22"/>
                <w:szCs w:val="22"/>
              </w:rPr>
              <w:t>Source</w:t>
            </w:r>
          </w:p>
        </w:tc>
        <w:tc>
          <w:tcPr>
            <w:tcW w:w="0" w:type="auto"/>
            <w:vAlign w:val="center"/>
            <w:hideMark/>
          </w:tcPr>
          <w:p w14:paraId="1AF1AA01" w14:textId="77777777" w:rsidR="002957B2" w:rsidRPr="00730379" w:rsidRDefault="002957B2" w:rsidP="002957B2">
            <w:pPr>
              <w:rPr>
                <w:rFonts w:ascii="Aptos" w:hAnsi="Aptos"/>
                <w:b/>
                <w:bCs/>
                <w:color w:val="013844"/>
                <w:sz w:val="22"/>
                <w:szCs w:val="22"/>
              </w:rPr>
            </w:pPr>
            <w:r w:rsidRPr="00730379">
              <w:rPr>
                <w:rFonts w:ascii="Aptos" w:hAnsi="Aptos"/>
                <w:b/>
                <w:bCs/>
                <w:color w:val="013844"/>
                <w:sz w:val="22"/>
                <w:szCs w:val="22"/>
              </w:rPr>
              <w:t>Where stored (system/location)</w:t>
            </w:r>
          </w:p>
        </w:tc>
        <w:tc>
          <w:tcPr>
            <w:tcW w:w="0" w:type="auto"/>
            <w:vAlign w:val="center"/>
            <w:hideMark/>
          </w:tcPr>
          <w:p w14:paraId="4413ACB3" w14:textId="77777777" w:rsidR="002957B2" w:rsidRPr="00730379" w:rsidRDefault="002957B2" w:rsidP="002957B2">
            <w:pPr>
              <w:rPr>
                <w:rFonts w:ascii="Aptos" w:hAnsi="Aptos"/>
                <w:b/>
                <w:bCs/>
                <w:color w:val="013844"/>
                <w:sz w:val="22"/>
                <w:szCs w:val="22"/>
              </w:rPr>
            </w:pPr>
            <w:r w:rsidRPr="00730379">
              <w:rPr>
                <w:rFonts w:ascii="Aptos" w:hAnsi="Aptos"/>
                <w:b/>
                <w:bCs/>
                <w:color w:val="013844"/>
                <w:sz w:val="22"/>
                <w:szCs w:val="22"/>
              </w:rPr>
              <w:t>Who can access</w:t>
            </w:r>
          </w:p>
        </w:tc>
        <w:tc>
          <w:tcPr>
            <w:tcW w:w="0" w:type="auto"/>
            <w:vAlign w:val="center"/>
            <w:hideMark/>
          </w:tcPr>
          <w:p w14:paraId="41D51BAE" w14:textId="77777777" w:rsidR="002957B2" w:rsidRPr="00730379" w:rsidRDefault="002957B2" w:rsidP="002957B2">
            <w:pPr>
              <w:rPr>
                <w:rFonts w:ascii="Aptos" w:hAnsi="Aptos"/>
                <w:b/>
                <w:bCs/>
                <w:color w:val="013844"/>
                <w:sz w:val="22"/>
                <w:szCs w:val="22"/>
              </w:rPr>
            </w:pPr>
            <w:r w:rsidRPr="00730379">
              <w:rPr>
                <w:rFonts w:ascii="Aptos" w:hAnsi="Aptos"/>
                <w:b/>
                <w:bCs/>
                <w:color w:val="013844"/>
                <w:sz w:val="22"/>
                <w:szCs w:val="22"/>
              </w:rPr>
              <w:t>Notes</w:t>
            </w:r>
          </w:p>
        </w:tc>
      </w:tr>
      <w:tr w:rsidR="002957B2" w:rsidRPr="00730379" w14:paraId="588B70E9" w14:textId="77777777">
        <w:trPr>
          <w:tblCellSpacing w:w="15" w:type="dxa"/>
        </w:trPr>
        <w:tc>
          <w:tcPr>
            <w:tcW w:w="0" w:type="auto"/>
            <w:vAlign w:val="center"/>
            <w:hideMark/>
          </w:tcPr>
          <w:p w14:paraId="6896BC6B"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Consult notes</w:t>
            </w:r>
          </w:p>
        </w:tc>
        <w:tc>
          <w:tcPr>
            <w:tcW w:w="0" w:type="auto"/>
            <w:vAlign w:val="center"/>
            <w:hideMark/>
          </w:tcPr>
          <w:p w14:paraId="79C7543F"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Clinician</w:t>
            </w:r>
          </w:p>
        </w:tc>
        <w:tc>
          <w:tcPr>
            <w:tcW w:w="0" w:type="auto"/>
            <w:vAlign w:val="center"/>
            <w:hideMark/>
          </w:tcPr>
          <w:p w14:paraId="6EF7ECFF"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[Clinical record/EMR]</w:t>
            </w:r>
          </w:p>
        </w:tc>
        <w:tc>
          <w:tcPr>
            <w:tcW w:w="0" w:type="auto"/>
            <w:vAlign w:val="center"/>
            <w:hideMark/>
          </w:tcPr>
          <w:p w14:paraId="384BD312"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[Role-based]</w:t>
            </w:r>
          </w:p>
        </w:tc>
        <w:tc>
          <w:tcPr>
            <w:tcW w:w="0" w:type="auto"/>
            <w:vAlign w:val="center"/>
            <w:hideMark/>
          </w:tcPr>
          <w:p w14:paraId="4FED2AB0"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Single source of truth</w:t>
            </w:r>
          </w:p>
        </w:tc>
      </w:tr>
      <w:tr w:rsidR="002957B2" w:rsidRPr="00730379" w14:paraId="51A5F848" w14:textId="77777777">
        <w:trPr>
          <w:tblCellSpacing w:w="15" w:type="dxa"/>
        </w:trPr>
        <w:tc>
          <w:tcPr>
            <w:tcW w:w="0" w:type="auto"/>
            <w:vAlign w:val="center"/>
            <w:hideMark/>
          </w:tcPr>
          <w:p w14:paraId="787785B7"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Images (if used)</w:t>
            </w:r>
          </w:p>
        </w:tc>
        <w:tc>
          <w:tcPr>
            <w:tcW w:w="0" w:type="auto"/>
            <w:vAlign w:val="center"/>
            <w:hideMark/>
          </w:tcPr>
          <w:p w14:paraId="1C51ACFA"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Peripherals/camera</w:t>
            </w:r>
          </w:p>
        </w:tc>
        <w:tc>
          <w:tcPr>
            <w:tcW w:w="0" w:type="auto"/>
            <w:vAlign w:val="center"/>
            <w:hideMark/>
          </w:tcPr>
          <w:p w14:paraId="0465B117"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[Clinical record/approved repository]</w:t>
            </w:r>
          </w:p>
        </w:tc>
        <w:tc>
          <w:tcPr>
            <w:tcW w:w="0" w:type="auto"/>
            <w:vAlign w:val="center"/>
            <w:hideMark/>
          </w:tcPr>
          <w:p w14:paraId="4C4770A8"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[Role-based]</w:t>
            </w:r>
          </w:p>
        </w:tc>
        <w:tc>
          <w:tcPr>
            <w:tcW w:w="0" w:type="auto"/>
            <w:vAlign w:val="center"/>
            <w:hideMark/>
          </w:tcPr>
          <w:p w14:paraId="6BB9CACD"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Include retention rules</w:t>
            </w:r>
          </w:p>
        </w:tc>
      </w:tr>
      <w:tr w:rsidR="002957B2" w:rsidRPr="00730379" w14:paraId="2464AC3F" w14:textId="77777777">
        <w:trPr>
          <w:tblCellSpacing w:w="15" w:type="dxa"/>
        </w:trPr>
        <w:tc>
          <w:tcPr>
            <w:tcW w:w="0" w:type="auto"/>
            <w:vAlign w:val="center"/>
            <w:hideMark/>
          </w:tcPr>
          <w:p w14:paraId="6732CBE1"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Call metadata</w:t>
            </w:r>
          </w:p>
        </w:tc>
        <w:tc>
          <w:tcPr>
            <w:tcW w:w="0" w:type="auto"/>
            <w:vAlign w:val="center"/>
            <w:hideMark/>
          </w:tcPr>
          <w:p w14:paraId="22C45BE5"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Platform</w:t>
            </w:r>
          </w:p>
        </w:tc>
        <w:tc>
          <w:tcPr>
            <w:tcW w:w="0" w:type="auto"/>
            <w:vAlign w:val="center"/>
            <w:hideMark/>
          </w:tcPr>
          <w:p w14:paraId="62061BE8"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[Platform logs]</w:t>
            </w:r>
          </w:p>
        </w:tc>
        <w:tc>
          <w:tcPr>
            <w:tcW w:w="0" w:type="auto"/>
            <w:vAlign w:val="center"/>
            <w:hideMark/>
          </w:tcPr>
          <w:p w14:paraId="1F698A92"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IT / Admin</w:t>
            </w:r>
          </w:p>
        </w:tc>
        <w:tc>
          <w:tcPr>
            <w:tcW w:w="0" w:type="auto"/>
            <w:vAlign w:val="center"/>
            <w:hideMark/>
          </w:tcPr>
          <w:p w14:paraId="2EF5BD1C"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Access controlled</w:t>
            </w:r>
          </w:p>
        </w:tc>
      </w:tr>
      <w:tr w:rsidR="002957B2" w:rsidRPr="00730379" w14:paraId="2914BD5C" w14:textId="77777777">
        <w:trPr>
          <w:tblCellSpacing w:w="15" w:type="dxa"/>
        </w:trPr>
        <w:tc>
          <w:tcPr>
            <w:tcW w:w="0" w:type="auto"/>
            <w:vAlign w:val="center"/>
            <w:hideMark/>
          </w:tcPr>
          <w:p w14:paraId="4530B4E5"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Patient identifiers</w:t>
            </w:r>
          </w:p>
        </w:tc>
        <w:tc>
          <w:tcPr>
            <w:tcW w:w="0" w:type="auto"/>
            <w:vAlign w:val="center"/>
            <w:hideMark/>
          </w:tcPr>
          <w:p w14:paraId="78987E05"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Admin/Clinician</w:t>
            </w:r>
          </w:p>
        </w:tc>
        <w:tc>
          <w:tcPr>
            <w:tcW w:w="0" w:type="auto"/>
            <w:vAlign w:val="center"/>
            <w:hideMark/>
          </w:tcPr>
          <w:p w14:paraId="0D2774F0"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[Clinical record]</w:t>
            </w:r>
          </w:p>
        </w:tc>
        <w:tc>
          <w:tcPr>
            <w:tcW w:w="0" w:type="auto"/>
            <w:vAlign w:val="center"/>
            <w:hideMark/>
          </w:tcPr>
          <w:p w14:paraId="3DBDDD0D"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[Role-based]</w:t>
            </w:r>
          </w:p>
        </w:tc>
        <w:tc>
          <w:tcPr>
            <w:tcW w:w="0" w:type="auto"/>
            <w:vAlign w:val="center"/>
            <w:hideMark/>
          </w:tcPr>
          <w:p w14:paraId="37D6089A"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Minimise duplication</w:t>
            </w:r>
          </w:p>
        </w:tc>
      </w:tr>
    </w:tbl>
    <w:p w14:paraId="1BB13BDB"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The NSW virtual care implementation guidance stresses privacy and security considerations as part of implementation, not as an afterthought. </w:t>
      </w:r>
    </w:p>
    <w:p w14:paraId="7951F455" w14:textId="1833AC5A"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6.4 Consent model</w:t>
      </w:r>
    </w:p>
    <w:p w14:paraId="58174E6C"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Consent must be obtained and documented in a way that is understandable to the patient and appropriate to the context. AHPRA virtual care guidance (see References) emphasises informing patients what to expect, obtaining informed consent, and being clear about information sharing and recording. </w:t>
      </w:r>
    </w:p>
    <w:p w14:paraId="112874A8"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Use a simple, consistent consent approach:</w:t>
      </w:r>
    </w:p>
    <w:p w14:paraId="58100854" w14:textId="4CC2F503" w:rsidR="002957B2" w:rsidRPr="00730379" w:rsidRDefault="002957B2" w:rsidP="002957B2">
      <w:pPr>
        <w:rPr>
          <w:rFonts w:ascii="Aptos" w:hAnsi="Aptos"/>
          <w:color w:val="013844"/>
          <w:sz w:val="22"/>
          <w:szCs w:val="22"/>
        </w:rPr>
      </w:pPr>
      <w:r w:rsidRPr="00730379">
        <w:rPr>
          <w:rFonts w:ascii="Aptos" w:hAnsi="Aptos"/>
          <w:b/>
          <w:bCs/>
          <w:color w:val="013844"/>
          <w:sz w:val="22"/>
          <w:szCs w:val="22"/>
        </w:rPr>
        <w:t>Baseline consent points</w:t>
      </w:r>
      <w:r w:rsidRPr="00730379">
        <w:rPr>
          <w:rFonts w:ascii="Aptos" w:hAnsi="Aptos"/>
          <w:color w:val="013844"/>
          <w:sz w:val="22"/>
          <w:szCs w:val="22"/>
        </w:rPr>
        <w:br/>
        <w:t>At the start of the consult, the clinician (or onsite staff supporting the consult) confirms:</w:t>
      </w:r>
    </w:p>
    <w:p w14:paraId="7A1C5A4D" w14:textId="77777777" w:rsidR="002957B2" w:rsidRPr="00730379" w:rsidRDefault="002957B2" w:rsidP="002957B2">
      <w:pPr>
        <w:numPr>
          <w:ilvl w:val="0"/>
          <w:numId w:val="19"/>
        </w:numPr>
        <w:rPr>
          <w:rFonts w:ascii="Aptos" w:hAnsi="Aptos"/>
          <w:color w:val="013844"/>
          <w:sz w:val="22"/>
          <w:szCs w:val="22"/>
        </w:rPr>
      </w:pPr>
      <w:r w:rsidRPr="00730379">
        <w:rPr>
          <w:rFonts w:ascii="Aptos" w:hAnsi="Aptos"/>
          <w:color w:val="013844"/>
          <w:sz w:val="22"/>
          <w:szCs w:val="22"/>
        </w:rPr>
        <w:t>the patient agrees to proceed via video or phone today</w:t>
      </w:r>
    </w:p>
    <w:p w14:paraId="2CC1295F" w14:textId="77777777" w:rsidR="002957B2" w:rsidRPr="00730379" w:rsidRDefault="002957B2" w:rsidP="002957B2">
      <w:pPr>
        <w:numPr>
          <w:ilvl w:val="0"/>
          <w:numId w:val="19"/>
        </w:numPr>
        <w:rPr>
          <w:rFonts w:ascii="Aptos" w:hAnsi="Aptos"/>
          <w:color w:val="013844"/>
          <w:sz w:val="22"/>
          <w:szCs w:val="22"/>
        </w:rPr>
      </w:pPr>
      <w:r w:rsidRPr="00730379">
        <w:rPr>
          <w:rFonts w:ascii="Aptos" w:hAnsi="Aptos"/>
          <w:color w:val="013844"/>
          <w:sz w:val="22"/>
          <w:szCs w:val="22"/>
        </w:rPr>
        <w:t>who is present on each side of the call</w:t>
      </w:r>
    </w:p>
    <w:p w14:paraId="095CDC7C" w14:textId="77777777" w:rsidR="002957B2" w:rsidRPr="00730379" w:rsidRDefault="002957B2" w:rsidP="002957B2">
      <w:pPr>
        <w:numPr>
          <w:ilvl w:val="0"/>
          <w:numId w:val="19"/>
        </w:numPr>
        <w:rPr>
          <w:rFonts w:ascii="Aptos" w:hAnsi="Aptos"/>
          <w:color w:val="013844"/>
          <w:sz w:val="22"/>
          <w:szCs w:val="22"/>
        </w:rPr>
      </w:pPr>
      <w:r w:rsidRPr="00730379">
        <w:rPr>
          <w:rFonts w:ascii="Aptos" w:hAnsi="Aptos"/>
          <w:color w:val="013844"/>
          <w:sz w:val="22"/>
          <w:szCs w:val="22"/>
        </w:rPr>
        <w:t>whether any additional parties are joining (family, interpreter, student) and the patient agrees</w:t>
      </w:r>
    </w:p>
    <w:p w14:paraId="4A8332A6" w14:textId="77777777" w:rsidR="002957B2" w:rsidRPr="00730379" w:rsidRDefault="002957B2" w:rsidP="002957B2">
      <w:pPr>
        <w:numPr>
          <w:ilvl w:val="0"/>
          <w:numId w:val="19"/>
        </w:numPr>
        <w:rPr>
          <w:rFonts w:ascii="Aptos" w:hAnsi="Aptos"/>
          <w:color w:val="013844"/>
          <w:sz w:val="22"/>
          <w:szCs w:val="22"/>
        </w:rPr>
      </w:pPr>
      <w:r w:rsidRPr="00730379">
        <w:rPr>
          <w:rFonts w:ascii="Aptos" w:hAnsi="Aptos"/>
          <w:color w:val="013844"/>
          <w:sz w:val="22"/>
          <w:szCs w:val="22"/>
        </w:rPr>
        <w:t>whether the consult will be recorded (default is not recorded unless explicitly required and approved)</w:t>
      </w:r>
    </w:p>
    <w:p w14:paraId="263AED96"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lastRenderedPageBreak/>
        <w:t xml:space="preserve">RACGP virtual care and telehealth guidance (see References) is clear that other parties should introduce themselves and patient consent should be confirmed for their participation. </w:t>
      </w:r>
    </w:p>
    <w:p w14:paraId="3DB960D2" w14:textId="77777777" w:rsidR="002957B2" w:rsidRPr="00730379" w:rsidRDefault="002957B2" w:rsidP="002957B2">
      <w:pPr>
        <w:rPr>
          <w:rFonts w:ascii="Aptos" w:hAnsi="Aptos"/>
          <w:color w:val="013844"/>
          <w:sz w:val="22"/>
          <w:szCs w:val="22"/>
        </w:rPr>
      </w:pPr>
      <w:r w:rsidRPr="00730379">
        <w:rPr>
          <w:rFonts w:ascii="Aptos" w:hAnsi="Aptos"/>
          <w:b/>
          <w:bCs/>
          <w:color w:val="013844"/>
          <w:sz w:val="22"/>
          <w:szCs w:val="22"/>
        </w:rPr>
        <w:t>Documentation requirement</w:t>
      </w:r>
      <w:r w:rsidRPr="00730379">
        <w:rPr>
          <w:rFonts w:ascii="Aptos" w:hAnsi="Aptos"/>
          <w:color w:val="013844"/>
          <w:sz w:val="22"/>
          <w:szCs w:val="22"/>
        </w:rPr>
        <w:br/>
        <w:t>Record consent in the clinical note using a short standard phrase, for example:</w:t>
      </w:r>
      <w:r w:rsidRPr="00730379">
        <w:rPr>
          <w:rFonts w:ascii="Aptos" w:hAnsi="Aptos"/>
          <w:color w:val="013844"/>
          <w:sz w:val="22"/>
          <w:szCs w:val="22"/>
        </w:rPr>
        <w:br/>
        <w:t>“Consent confirmed for virtual consultation. Participants confirmed. No recording.”</w:t>
      </w:r>
    </w:p>
    <w:p w14:paraId="0BC41D27" w14:textId="77777777"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6.5 Privacy and security controls for virtual care delivery</w:t>
      </w:r>
    </w:p>
    <w:p w14:paraId="7D9F11DE"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Define practical controls that reduce privacy and security risk without slowing clinicians down. The Australian Digital Health Agency guidance on using online conferencing technologies securely (see References) guide provides a sound baseline for technology assessment and operational controls. </w:t>
      </w:r>
    </w:p>
    <w:p w14:paraId="5A7D7466"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Minimum controls to document for the site:</w:t>
      </w:r>
    </w:p>
    <w:p w14:paraId="19E7458C" w14:textId="77777777" w:rsidR="002957B2" w:rsidRPr="00730379" w:rsidRDefault="002957B2" w:rsidP="002957B2">
      <w:pPr>
        <w:numPr>
          <w:ilvl w:val="0"/>
          <w:numId w:val="20"/>
        </w:numPr>
        <w:rPr>
          <w:rFonts w:ascii="Aptos" w:hAnsi="Aptos"/>
          <w:color w:val="013844"/>
          <w:sz w:val="22"/>
          <w:szCs w:val="22"/>
        </w:rPr>
      </w:pPr>
      <w:r w:rsidRPr="00730379">
        <w:rPr>
          <w:rFonts w:ascii="Aptos" w:hAnsi="Aptos"/>
          <w:color w:val="013844"/>
          <w:sz w:val="22"/>
          <w:szCs w:val="22"/>
        </w:rPr>
        <w:t>which platform(s) are approved for clinical use</w:t>
      </w:r>
    </w:p>
    <w:p w14:paraId="5863D331" w14:textId="77777777" w:rsidR="002957B2" w:rsidRPr="00730379" w:rsidRDefault="002957B2" w:rsidP="002957B2">
      <w:pPr>
        <w:numPr>
          <w:ilvl w:val="0"/>
          <w:numId w:val="20"/>
        </w:numPr>
        <w:rPr>
          <w:rFonts w:ascii="Aptos" w:hAnsi="Aptos"/>
          <w:color w:val="013844"/>
          <w:sz w:val="22"/>
          <w:szCs w:val="22"/>
        </w:rPr>
      </w:pPr>
      <w:r w:rsidRPr="00730379">
        <w:rPr>
          <w:rFonts w:ascii="Aptos" w:hAnsi="Aptos"/>
          <w:color w:val="013844"/>
          <w:sz w:val="22"/>
          <w:szCs w:val="22"/>
        </w:rPr>
        <w:t>how meetings are created and who can join (links, waiting rooms, authentication where relevant)</w:t>
      </w:r>
    </w:p>
    <w:p w14:paraId="08A9D5A5" w14:textId="77777777" w:rsidR="002957B2" w:rsidRPr="00730379" w:rsidRDefault="002957B2" w:rsidP="002957B2">
      <w:pPr>
        <w:numPr>
          <w:ilvl w:val="0"/>
          <w:numId w:val="20"/>
        </w:numPr>
        <w:rPr>
          <w:rFonts w:ascii="Aptos" w:hAnsi="Aptos"/>
          <w:color w:val="013844"/>
          <w:sz w:val="22"/>
          <w:szCs w:val="22"/>
        </w:rPr>
      </w:pPr>
      <w:r w:rsidRPr="00730379">
        <w:rPr>
          <w:rFonts w:ascii="Aptos" w:hAnsi="Aptos"/>
          <w:color w:val="013844"/>
          <w:sz w:val="22"/>
          <w:szCs w:val="22"/>
        </w:rPr>
        <w:t>how staff avoid using personal accounts or unmanaged devices unless explicitly permitted</w:t>
      </w:r>
    </w:p>
    <w:p w14:paraId="7675E26C" w14:textId="77777777" w:rsidR="002957B2" w:rsidRPr="00730379" w:rsidRDefault="002957B2" w:rsidP="002957B2">
      <w:pPr>
        <w:numPr>
          <w:ilvl w:val="0"/>
          <w:numId w:val="20"/>
        </w:numPr>
        <w:rPr>
          <w:rFonts w:ascii="Aptos" w:hAnsi="Aptos"/>
          <w:color w:val="013844"/>
          <w:sz w:val="22"/>
          <w:szCs w:val="22"/>
        </w:rPr>
      </w:pPr>
      <w:r w:rsidRPr="00730379">
        <w:rPr>
          <w:rFonts w:ascii="Aptos" w:hAnsi="Aptos"/>
          <w:color w:val="013844"/>
          <w:sz w:val="22"/>
          <w:szCs w:val="22"/>
        </w:rPr>
        <w:t>how staff ensure the physical environment supports confidentiality (room privacy, signage, audio leakage)</w:t>
      </w:r>
    </w:p>
    <w:p w14:paraId="237C2E04" w14:textId="77777777"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6.6 Special situations that must be covered in the workflow</w:t>
      </w:r>
    </w:p>
    <w:p w14:paraId="6DFE0EC4" w14:textId="77777777" w:rsidR="002957B2" w:rsidRPr="00730379" w:rsidRDefault="002957B2" w:rsidP="002957B2">
      <w:pPr>
        <w:rPr>
          <w:rFonts w:ascii="Aptos" w:hAnsi="Aptos"/>
          <w:color w:val="013844"/>
          <w:sz w:val="22"/>
          <w:szCs w:val="22"/>
        </w:rPr>
      </w:pPr>
      <w:r w:rsidRPr="00730379">
        <w:rPr>
          <w:rFonts w:ascii="Aptos" w:hAnsi="Aptos"/>
          <w:b/>
          <w:bCs/>
          <w:color w:val="013844"/>
          <w:sz w:val="22"/>
          <w:szCs w:val="22"/>
        </w:rPr>
        <w:t>Third parties and family involvement</w:t>
      </w:r>
      <w:r w:rsidRPr="00730379">
        <w:rPr>
          <w:rFonts w:ascii="Aptos" w:hAnsi="Aptos"/>
          <w:color w:val="013844"/>
          <w:sz w:val="22"/>
          <w:szCs w:val="22"/>
        </w:rPr>
        <w:br/>
        <w:t xml:space="preserve">Always confirm who is in the room on both </w:t>
      </w:r>
      <w:proofErr w:type="gramStart"/>
      <w:r w:rsidRPr="00730379">
        <w:rPr>
          <w:rFonts w:ascii="Aptos" w:hAnsi="Aptos"/>
          <w:color w:val="013844"/>
          <w:sz w:val="22"/>
          <w:szCs w:val="22"/>
        </w:rPr>
        <w:t>sides, and</w:t>
      </w:r>
      <w:proofErr w:type="gramEnd"/>
      <w:r w:rsidRPr="00730379">
        <w:rPr>
          <w:rFonts w:ascii="Aptos" w:hAnsi="Aptos"/>
          <w:color w:val="013844"/>
          <w:sz w:val="22"/>
          <w:szCs w:val="22"/>
        </w:rPr>
        <w:t xml:space="preserve"> explicitly confirm consent for any third-party participation. </w:t>
      </w:r>
    </w:p>
    <w:p w14:paraId="468961B3" w14:textId="77777777" w:rsidR="002957B2" w:rsidRPr="00730379" w:rsidRDefault="002957B2" w:rsidP="002957B2">
      <w:pPr>
        <w:rPr>
          <w:rFonts w:ascii="Aptos" w:hAnsi="Aptos"/>
          <w:color w:val="013844"/>
          <w:sz w:val="22"/>
          <w:szCs w:val="22"/>
        </w:rPr>
      </w:pPr>
      <w:r w:rsidRPr="00730379">
        <w:rPr>
          <w:rFonts w:ascii="Aptos" w:hAnsi="Aptos"/>
          <w:b/>
          <w:bCs/>
          <w:color w:val="013844"/>
          <w:sz w:val="22"/>
          <w:szCs w:val="22"/>
        </w:rPr>
        <w:t>Mobile and outreach</w:t>
      </w:r>
      <w:r w:rsidRPr="00730379">
        <w:rPr>
          <w:rFonts w:ascii="Aptos" w:hAnsi="Aptos"/>
          <w:color w:val="013844"/>
          <w:sz w:val="22"/>
          <w:szCs w:val="22"/>
        </w:rPr>
        <w:br/>
        <w:t>Document how staff handle privacy in vehicles or shared spaces, how devices are transported and secured, and what happens if a consult cannot be conducted privately.</w:t>
      </w:r>
    </w:p>
    <w:p w14:paraId="1F75EA78" w14:textId="77777777" w:rsidR="002957B2" w:rsidRPr="00730379" w:rsidRDefault="002957B2" w:rsidP="002957B2">
      <w:pPr>
        <w:rPr>
          <w:rFonts w:ascii="Aptos" w:hAnsi="Aptos"/>
          <w:color w:val="013844"/>
          <w:sz w:val="22"/>
          <w:szCs w:val="22"/>
        </w:rPr>
      </w:pPr>
      <w:r w:rsidRPr="00730379">
        <w:rPr>
          <w:rFonts w:ascii="Aptos" w:hAnsi="Aptos"/>
          <w:b/>
          <w:bCs/>
          <w:color w:val="013844"/>
          <w:sz w:val="22"/>
          <w:szCs w:val="22"/>
        </w:rPr>
        <w:t>In-home support</w:t>
      </w:r>
      <w:r w:rsidRPr="00730379">
        <w:rPr>
          <w:rFonts w:ascii="Aptos" w:hAnsi="Aptos"/>
          <w:color w:val="013844"/>
          <w:sz w:val="22"/>
          <w:szCs w:val="22"/>
        </w:rPr>
        <w:br/>
        <w:t>Document the approach to privacy when the patient is at home, including confirming who else is present and whether the patient is comfortable proceeding.</w:t>
      </w:r>
    </w:p>
    <w:p w14:paraId="09B0BA4A" w14:textId="77777777" w:rsidR="002957B2" w:rsidRPr="00730379" w:rsidRDefault="002957B2" w:rsidP="002957B2">
      <w:pPr>
        <w:rPr>
          <w:rFonts w:ascii="Aptos" w:hAnsi="Aptos"/>
          <w:color w:val="013844"/>
          <w:sz w:val="22"/>
          <w:szCs w:val="22"/>
        </w:rPr>
      </w:pPr>
      <w:r w:rsidRPr="00730379">
        <w:rPr>
          <w:rFonts w:ascii="Aptos" w:hAnsi="Aptos"/>
          <w:b/>
          <w:bCs/>
          <w:color w:val="013844"/>
          <w:sz w:val="22"/>
          <w:szCs w:val="22"/>
        </w:rPr>
        <w:t>Recording and screenshots</w:t>
      </w:r>
      <w:r w:rsidRPr="00730379">
        <w:rPr>
          <w:rFonts w:ascii="Aptos" w:hAnsi="Aptos"/>
          <w:color w:val="013844"/>
          <w:sz w:val="22"/>
          <w:szCs w:val="22"/>
        </w:rPr>
        <w:br/>
        <w:t xml:space="preserve">Default position should be “no recording” unless there is a defined clinical, legal, or operational requirement and an approved policy pathway. If recording is ever used, the patient must be told, consent must be obtained, and storage and access must be controlled. AHPRA’s guidance explicitly calls out informed consent, particularly if recording is involved. </w:t>
      </w:r>
    </w:p>
    <w:p w14:paraId="5BE7614D" w14:textId="77777777"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lastRenderedPageBreak/>
        <w:t>6.7 Privacy checklist and local policy alignment</w:t>
      </w:r>
    </w:p>
    <w:p w14:paraId="568CBE8F" w14:textId="4D0156DE"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Use a recognised checklist as a cross-check against local policies. The Department of Health “Privacy Checklist for Telehealth (virtual care) Services” </w:t>
      </w:r>
      <w:r w:rsidR="00B23E4B" w:rsidRPr="00730379">
        <w:rPr>
          <w:rFonts w:ascii="Aptos" w:hAnsi="Aptos"/>
          <w:color w:val="013844"/>
          <w:sz w:val="22"/>
          <w:szCs w:val="22"/>
        </w:rPr>
        <w:t xml:space="preserve">(see references) </w:t>
      </w:r>
      <w:r w:rsidRPr="00730379">
        <w:rPr>
          <w:rFonts w:ascii="Aptos" w:hAnsi="Aptos"/>
          <w:color w:val="013844"/>
          <w:sz w:val="22"/>
          <w:szCs w:val="22"/>
        </w:rPr>
        <w:t xml:space="preserve">is a useful high-level prompt list for services delivering virtual care. </w:t>
      </w:r>
    </w:p>
    <w:p w14:paraId="707749E4"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For NSW customers (or customers aligning to NSW practice), the NSW Health Privacy Manual for Health Information is a relevant local reference for procedures and expectations. </w:t>
      </w:r>
    </w:p>
    <w:p w14:paraId="2B5A96C8" w14:textId="1A6CA19B"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6.8 Incident and breach response</w:t>
      </w:r>
    </w:p>
    <w:p w14:paraId="4D57404F"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Document what staff do if something goes wrong, in plain language:</w:t>
      </w:r>
    </w:p>
    <w:p w14:paraId="274B05BF" w14:textId="77777777" w:rsidR="002957B2" w:rsidRPr="00730379" w:rsidRDefault="002957B2" w:rsidP="002957B2">
      <w:pPr>
        <w:numPr>
          <w:ilvl w:val="0"/>
          <w:numId w:val="21"/>
        </w:numPr>
        <w:rPr>
          <w:rFonts w:ascii="Aptos" w:hAnsi="Aptos"/>
          <w:color w:val="013844"/>
          <w:sz w:val="22"/>
          <w:szCs w:val="22"/>
        </w:rPr>
      </w:pPr>
      <w:r w:rsidRPr="00730379">
        <w:rPr>
          <w:rFonts w:ascii="Aptos" w:hAnsi="Aptos"/>
          <w:color w:val="013844"/>
          <w:sz w:val="22"/>
          <w:szCs w:val="22"/>
        </w:rPr>
        <w:t>what counts as a privacy incident (misdirected email, images stored in the wrong place, consult conducted where others could overhear, unauthorised access)</w:t>
      </w:r>
    </w:p>
    <w:p w14:paraId="04282B36" w14:textId="77777777" w:rsidR="002957B2" w:rsidRPr="00730379" w:rsidRDefault="002957B2" w:rsidP="002957B2">
      <w:pPr>
        <w:numPr>
          <w:ilvl w:val="0"/>
          <w:numId w:val="21"/>
        </w:numPr>
        <w:rPr>
          <w:rFonts w:ascii="Aptos" w:hAnsi="Aptos"/>
          <w:color w:val="013844"/>
          <w:sz w:val="22"/>
          <w:szCs w:val="22"/>
        </w:rPr>
      </w:pPr>
      <w:r w:rsidRPr="00730379">
        <w:rPr>
          <w:rFonts w:ascii="Aptos" w:hAnsi="Aptos"/>
          <w:color w:val="013844"/>
          <w:sz w:val="22"/>
          <w:szCs w:val="22"/>
        </w:rPr>
        <w:t>who staff notify immediately</w:t>
      </w:r>
    </w:p>
    <w:p w14:paraId="140E5A49" w14:textId="77777777" w:rsidR="002957B2" w:rsidRPr="00730379" w:rsidRDefault="002957B2" w:rsidP="002957B2">
      <w:pPr>
        <w:numPr>
          <w:ilvl w:val="0"/>
          <w:numId w:val="21"/>
        </w:numPr>
        <w:rPr>
          <w:rFonts w:ascii="Aptos" w:hAnsi="Aptos"/>
          <w:color w:val="013844"/>
          <w:sz w:val="22"/>
          <w:szCs w:val="22"/>
        </w:rPr>
      </w:pPr>
      <w:r w:rsidRPr="00730379">
        <w:rPr>
          <w:rFonts w:ascii="Aptos" w:hAnsi="Aptos"/>
          <w:color w:val="013844"/>
          <w:sz w:val="22"/>
          <w:szCs w:val="22"/>
        </w:rPr>
        <w:t>how the incident is logged and reviewed</w:t>
      </w:r>
    </w:p>
    <w:p w14:paraId="05AA67AF" w14:textId="77777777" w:rsidR="002957B2" w:rsidRPr="00730379" w:rsidRDefault="002957B2" w:rsidP="002957B2">
      <w:pPr>
        <w:numPr>
          <w:ilvl w:val="0"/>
          <w:numId w:val="21"/>
        </w:numPr>
        <w:rPr>
          <w:rFonts w:ascii="Aptos" w:hAnsi="Aptos"/>
          <w:color w:val="013844"/>
          <w:sz w:val="22"/>
          <w:szCs w:val="22"/>
        </w:rPr>
      </w:pPr>
      <w:r w:rsidRPr="00730379">
        <w:rPr>
          <w:rFonts w:ascii="Aptos" w:hAnsi="Aptos"/>
          <w:color w:val="013844"/>
          <w:sz w:val="22"/>
          <w:szCs w:val="22"/>
        </w:rPr>
        <w:t>how patients are informed if required under the organisation’s processes</w:t>
      </w:r>
    </w:p>
    <w:p w14:paraId="75584AC9"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This should align to the organisation’s broader privacy management approach as described by the OAIC’s health privacy guidance. </w:t>
      </w:r>
    </w:p>
    <w:p w14:paraId="5739F349" w14:textId="5F95BB48"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6.9 ACCHO-specific considerations</w:t>
      </w:r>
    </w:p>
    <w:p w14:paraId="65371182"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 xml:space="preserve">For ACCHOs, add a short subsection that reinforces community control and culturally safe handling of information. At minimum, include a statement that data and reporting should be governed in a way consistent with Indigenous Data Sovereignty principles and local ACCHO governance expectations. The Australian Government’s framework for governance of Indigenous data references the </w:t>
      </w:r>
      <w:proofErr w:type="spellStart"/>
      <w:r w:rsidRPr="00730379">
        <w:rPr>
          <w:rFonts w:ascii="Aptos" w:hAnsi="Aptos"/>
          <w:color w:val="013844"/>
          <w:sz w:val="22"/>
          <w:szCs w:val="22"/>
        </w:rPr>
        <w:t>Maiam</w:t>
      </w:r>
      <w:proofErr w:type="spellEnd"/>
      <w:r w:rsidRPr="00730379">
        <w:rPr>
          <w:rFonts w:ascii="Aptos" w:hAnsi="Aptos"/>
          <w:color w:val="013844"/>
          <w:sz w:val="22"/>
          <w:szCs w:val="22"/>
        </w:rPr>
        <w:t xml:space="preserve"> </w:t>
      </w:r>
      <w:proofErr w:type="spellStart"/>
      <w:r w:rsidRPr="00730379">
        <w:rPr>
          <w:rFonts w:ascii="Aptos" w:hAnsi="Aptos"/>
          <w:color w:val="013844"/>
          <w:sz w:val="22"/>
          <w:szCs w:val="22"/>
        </w:rPr>
        <w:t>nayri</w:t>
      </w:r>
      <w:proofErr w:type="spellEnd"/>
      <w:r w:rsidRPr="00730379">
        <w:rPr>
          <w:rFonts w:ascii="Aptos" w:hAnsi="Aptos"/>
          <w:color w:val="013844"/>
          <w:sz w:val="22"/>
          <w:szCs w:val="22"/>
        </w:rPr>
        <w:t xml:space="preserve"> </w:t>
      </w:r>
      <w:proofErr w:type="spellStart"/>
      <w:r w:rsidRPr="00730379">
        <w:rPr>
          <w:rFonts w:ascii="Aptos" w:hAnsi="Aptos"/>
          <w:color w:val="013844"/>
          <w:sz w:val="22"/>
          <w:szCs w:val="22"/>
        </w:rPr>
        <w:t>Wingara</w:t>
      </w:r>
      <w:proofErr w:type="spellEnd"/>
      <w:r w:rsidRPr="00730379">
        <w:rPr>
          <w:rFonts w:ascii="Aptos" w:hAnsi="Aptos"/>
          <w:color w:val="013844"/>
          <w:sz w:val="22"/>
          <w:szCs w:val="22"/>
        </w:rPr>
        <w:t xml:space="preserve"> Indigenous Data Sovereignty Principles. </w:t>
      </w:r>
    </w:p>
    <w:p w14:paraId="0CA787D7"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This does not need to be heavy. One paragraph plus an internal governance approval step is usually enough, unless the customer requests deeper reporting and data sharing arrangements.</w:t>
      </w:r>
    </w:p>
    <w:p w14:paraId="1212EDE5" w14:textId="77777777" w:rsidR="002957B2" w:rsidRPr="00730379" w:rsidRDefault="002957B2" w:rsidP="007210F2">
      <w:pPr>
        <w:pStyle w:val="Heading3"/>
        <w:rPr>
          <w:rFonts w:ascii="Aptos" w:hAnsi="Aptos"/>
          <w:color w:val="013844"/>
          <w:sz w:val="24"/>
          <w:szCs w:val="24"/>
        </w:rPr>
      </w:pPr>
      <w:r w:rsidRPr="00730379">
        <w:rPr>
          <w:rFonts w:ascii="Aptos" w:hAnsi="Aptos"/>
          <w:color w:val="013844"/>
          <w:sz w:val="24"/>
          <w:szCs w:val="24"/>
        </w:rPr>
        <w:t>6.10 Deliverables and sign-off checkpoint</w:t>
      </w:r>
    </w:p>
    <w:p w14:paraId="7B3D12CD"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t>Deliverables produced in this section:</w:t>
      </w:r>
    </w:p>
    <w:p w14:paraId="71072D8B" w14:textId="77777777" w:rsidR="002957B2" w:rsidRPr="00730379" w:rsidRDefault="002957B2" w:rsidP="002957B2">
      <w:pPr>
        <w:numPr>
          <w:ilvl w:val="0"/>
          <w:numId w:val="22"/>
        </w:numPr>
        <w:rPr>
          <w:rFonts w:ascii="Aptos" w:hAnsi="Aptos"/>
          <w:color w:val="013844"/>
          <w:sz w:val="22"/>
          <w:szCs w:val="22"/>
        </w:rPr>
      </w:pPr>
      <w:r w:rsidRPr="00730379">
        <w:rPr>
          <w:rFonts w:ascii="Aptos" w:hAnsi="Aptos"/>
          <w:color w:val="013844"/>
          <w:sz w:val="22"/>
          <w:szCs w:val="22"/>
        </w:rPr>
        <w:t>Site privacy and consent one-pager (patient-facing, plain language)</w:t>
      </w:r>
    </w:p>
    <w:p w14:paraId="3B6B1D11" w14:textId="77777777" w:rsidR="002957B2" w:rsidRPr="00730379" w:rsidRDefault="002957B2" w:rsidP="002957B2">
      <w:pPr>
        <w:numPr>
          <w:ilvl w:val="0"/>
          <w:numId w:val="22"/>
        </w:numPr>
        <w:rPr>
          <w:rFonts w:ascii="Aptos" w:hAnsi="Aptos"/>
          <w:color w:val="013844"/>
          <w:sz w:val="22"/>
          <w:szCs w:val="22"/>
        </w:rPr>
      </w:pPr>
      <w:r w:rsidRPr="00730379">
        <w:rPr>
          <w:rFonts w:ascii="Aptos" w:hAnsi="Aptos"/>
          <w:color w:val="013844"/>
          <w:sz w:val="22"/>
          <w:szCs w:val="22"/>
        </w:rPr>
        <w:t>Staff quick guide (how to confirm consent, third parties, no recording by default)</w:t>
      </w:r>
    </w:p>
    <w:p w14:paraId="1746DA7D" w14:textId="77777777" w:rsidR="002957B2" w:rsidRPr="00730379" w:rsidRDefault="002957B2" w:rsidP="002957B2">
      <w:pPr>
        <w:numPr>
          <w:ilvl w:val="0"/>
          <w:numId w:val="22"/>
        </w:numPr>
        <w:rPr>
          <w:rFonts w:ascii="Aptos" w:hAnsi="Aptos"/>
          <w:color w:val="013844"/>
          <w:sz w:val="22"/>
          <w:szCs w:val="22"/>
        </w:rPr>
      </w:pPr>
      <w:r w:rsidRPr="00730379">
        <w:rPr>
          <w:rFonts w:ascii="Aptos" w:hAnsi="Aptos"/>
          <w:color w:val="013844"/>
          <w:sz w:val="22"/>
          <w:szCs w:val="22"/>
        </w:rPr>
        <w:t>Data flow and information register (Section 6.3)</w:t>
      </w:r>
    </w:p>
    <w:p w14:paraId="1438A190" w14:textId="77777777" w:rsidR="002957B2" w:rsidRPr="00730379" w:rsidRDefault="002957B2" w:rsidP="002957B2">
      <w:pPr>
        <w:numPr>
          <w:ilvl w:val="0"/>
          <w:numId w:val="22"/>
        </w:numPr>
        <w:rPr>
          <w:rFonts w:ascii="Aptos" w:hAnsi="Aptos"/>
          <w:color w:val="013844"/>
          <w:sz w:val="22"/>
          <w:szCs w:val="22"/>
        </w:rPr>
      </w:pPr>
      <w:r w:rsidRPr="00730379">
        <w:rPr>
          <w:rFonts w:ascii="Aptos" w:hAnsi="Aptos"/>
          <w:color w:val="013844"/>
          <w:sz w:val="22"/>
          <w:szCs w:val="22"/>
        </w:rPr>
        <w:t>Privacy incident pathway (who to contact, how to log)</w:t>
      </w:r>
    </w:p>
    <w:p w14:paraId="5B9AD4F9" w14:textId="77777777" w:rsidR="002957B2" w:rsidRPr="00730379" w:rsidRDefault="002957B2" w:rsidP="002957B2">
      <w:pPr>
        <w:rPr>
          <w:rFonts w:ascii="Aptos" w:hAnsi="Aptos"/>
          <w:color w:val="013844"/>
          <w:sz w:val="22"/>
          <w:szCs w:val="22"/>
        </w:rPr>
      </w:pPr>
      <w:r w:rsidRPr="00730379">
        <w:rPr>
          <w:rFonts w:ascii="Aptos" w:hAnsi="Aptos"/>
          <w:color w:val="013844"/>
          <w:sz w:val="22"/>
          <w:szCs w:val="22"/>
        </w:rPr>
        <w:lastRenderedPageBreak/>
        <w:t>Sign-off:</w:t>
      </w:r>
      <w:r w:rsidRPr="00730379">
        <w:rPr>
          <w:rFonts w:ascii="Aptos" w:hAnsi="Aptos"/>
          <w:color w:val="013844"/>
          <w:sz w:val="22"/>
          <w:szCs w:val="22"/>
        </w:rPr>
        <w:br/>
        <w:t xml:space="preserve">Privacy Officer (or delegate): 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Clinical Lead: ________________________________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IT Lead: _____________________________________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6F6C3A6F" w14:textId="77777777" w:rsidR="007210F2" w:rsidRPr="00730379" w:rsidRDefault="007210F2" w:rsidP="007210F2">
      <w:pPr>
        <w:rPr>
          <w:rFonts w:ascii="Aptos" w:hAnsi="Aptos"/>
          <w:b/>
          <w:bCs/>
          <w:color w:val="013844"/>
          <w:sz w:val="22"/>
          <w:szCs w:val="22"/>
        </w:rPr>
      </w:pPr>
    </w:p>
    <w:p w14:paraId="67E30AF0" w14:textId="16D02E73" w:rsidR="007210F2" w:rsidRPr="00BA74CE" w:rsidRDefault="00BA74CE" w:rsidP="007210F2">
      <w:pPr>
        <w:pStyle w:val="Heading2"/>
        <w:rPr>
          <w:rFonts w:ascii="Aptos" w:hAnsi="Aptos"/>
          <w:color w:val="013844"/>
        </w:rPr>
      </w:pPr>
      <w:bookmarkStart w:id="6" w:name="_Toc219805100"/>
      <w:r w:rsidRPr="00BA74CE">
        <w:rPr>
          <w:rFonts w:ascii="Aptos" w:hAnsi="Aptos"/>
          <w:color w:val="013844"/>
          <w:sz w:val="24"/>
          <w:szCs w:val="24"/>
        </w:rPr>
        <w:t xml:space="preserve">SECTION 7 </w:t>
      </w:r>
      <w:r w:rsidRPr="00BA74CE">
        <w:rPr>
          <w:rFonts w:ascii="Aptos" w:hAnsi="Aptos"/>
          <w:color w:val="013844"/>
          <w:sz w:val="24"/>
          <w:szCs w:val="24"/>
        </w:rPr>
        <w:br/>
      </w:r>
      <w:r w:rsidR="007210F2" w:rsidRPr="00BA74CE">
        <w:rPr>
          <w:rFonts w:ascii="Aptos" w:hAnsi="Aptos"/>
          <w:b/>
          <w:bCs/>
          <w:color w:val="013844"/>
        </w:rPr>
        <w:t>Change management and communications</w:t>
      </w:r>
      <w:bookmarkEnd w:id="6"/>
    </w:p>
    <w:p w14:paraId="0C277ECB"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7.1 Objective</w:t>
      </w:r>
    </w:p>
    <w:p w14:paraId="6237F0E9"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Build staff confidence and routine use of Visionflex virtual care workflows at [Site] so Phase 1 use cases become “how we do it here”, not a side project. This section focuses on behaviour change, local ownership, and clear communications that support safe integration into everyday care. NSW guidance for virtual care implementation explicitly calls out effective change management and a communications plan as part of governance and implementation. </w:t>
      </w:r>
    </w:p>
    <w:p w14:paraId="1721F935"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7.2 Change approach for a single site</w:t>
      </w:r>
    </w:p>
    <w:p w14:paraId="0D622293"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Use a “model of care first” approach. Start with what the service is trying to achieve clinically and operationally, then position technology as the enabler. This reduces resistance and avoids a rollout that feels IT-led. </w:t>
      </w:r>
    </w:p>
    <w:p w14:paraId="08D51D59"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In practice, adoption improves when staff can answer three questions without hesitation:</w:t>
      </w:r>
    </w:p>
    <w:p w14:paraId="72D39ECB" w14:textId="77777777" w:rsidR="007210F2" w:rsidRPr="00730379" w:rsidRDefault="007210F2" w:rsidP="007210F2">
      <w:pPr>
        <w:numPr>
          <w:ilvl w:val="0"/>
          <w:numId w:val="23"/>
        </w:numPr>
        <w:rPr>
          <w:rFonts w:ascii="Aptos" w:hAnsi="Aptos"/>
          <w:color w:val="013844"/>
          <w:sz w:val="22"/>
          <w:szCs w:val="22"/>
        </w:rPr>
      </w:pPr>
      <w:r w:rsidRPr="00730379">
        <w:rPr>
          <w:rFonts w:ascii="Aptos" w:hAnsi="Aptos"/>
          <w:color w:val="013844"/>
          <w:sz w:val="22"/>
          <w:szCs w:val="22"/>
        </w:rPr>
        <w:t>When should I use virtual care for this patient and when should I not?</w:t>
      </w:r>
    </w:p>
    <w:p w14:paraId="3B7FCC2E" w14:textId="77777777" w:rsidR="007210F2" w:rsidRPr="00730379" w:rsidRDefault="007210F2" w:rsidP="007210F2">
      <w:pPr>
        <w:numPr>
          <w:ilvl w:val="0"/>
          <w:numId w:val="23"/>
        </w:numPr>
        <w:rPr>
          <w:rFonts w:ascii="Aptos" w:hAnsi="Aptos"/>
          <w:color w:val="013844"/>
          <w:sz w:val="22"/>
          <w:szCs w:val="22"/>
        </w:rPr>
      </w:pPr>
      <w:r w:rsidRPr="00730379">
        <w:rPr>
          <w:rFonts w:ascii="Aptos" w:hAnsi="Aptos"/>
          <w:color w:val="013844"/>
          <w:sz w:val="22"/>
          <w:szCs w:val="22"/>
        </w:rPr>
        <w:t>What is the simplest safe workflow for the top use cases?</w:t>
      </w:r>
    </w:p>
    <w:p w14:paraId="30C8D30F" w14:textId="77777777" w:rsidR="007210F2" w:rsidRPr="00730379" w:rsidRDefault="007210F2" w:rsidP="007210F2">
      <w:pPr>
        <w:numPr>
          <w:ilvl w:val="0"/>
          <w:numId w:val="23"/>
        </w:numPr>
        <w:rPr>
          <w:rFonts w:ascii="Aptos" w:hAnsi="Aptos"/>
          <w:color w:val="013844"/>
          <w:sz w:val="22"/>
          <w:szCs w:val="22"/>
        </w:rPr>
      </w:pPr>
      <w:r w:rsidRPr="00730379">
        <w:rPr>
          <w:rFonts w:ascii="Aptos" w:hAnsi="Aptos"/>
          <w:color w:val="013844"/>
          <w:sz w:val="22"/>
          <w:szCs w:val="22"/>
        </w:rPr>
        <w:t>What do I do if something goes wrong clinically or technically?</w:t>
      </w:r>
      <w:r w:rsidRPr="00730379">
        <w:rPr>
          <w:rFonts w:ascii="Aptos" w:hAnsi="Aptos"/>
          <w:color w:val="013844"/>
          <w:sz w:val="22"/>
          <w:szCs w:val="22"/>
        </w:rPr>
        <w:br/>
        <w:t xml:space="preserve">(These questions align closely with the best-practice implementation patterns in established implementation playbooks.) </w:t>
      </w:r>
    </w:p>
    <w:p w14:paraId="2355B1D4"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7.3 Stakeholders and key messages</w:t>
      </w:r>
    </w:p>
    <w:p w14:paraId="2993E184"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Keep the message consistent but tailored by audience. The Project Lead maintains the stakeholder register and message map; the Executive Sponsor and Clinical Lead are the “faces” of the change.</w:t>
      </w:r>
    </w:p>
    <w:p w14:paraId="293F5414" w14:textId="77777777" w:rsidR="007210F2" w:rsidRPr="00730379" w:rsidRDefault="007210F2" w:rsidP="007210F2">
      <w:pPr>
        <w:rPr>
          <w:rFonts w:ascii="Aptos" w:hAnsi="Aptos"/>
          <w:color w:val="013844"/>
          <w:sz w:val="22"/>
          <w:szCs w:val="22"/>
        </w:rPr>
      </w:pPr>
      <w:r w:rsidRPr="00730379">
        <w:rPr>
          <w:rFonts w:ascii="Aptos" w:hAnsi="Aptos"/>
          <w:b/>
          <w:bCs/>
          <w:color w:val="013844"/>
          <w:sz w:val="22"/>
          <w:szCs w:val="22"/>
        </w:rPr>
        <w:t>Audience: Clinical staff</w:t>
      </w:r>
      <w:r w:rsidRPr="00730379">
        <w:rPr>
          <w:rFonts w:ascii="Aptos" w:hAnsi="Aptos"/>
          <w:color w:val="013844"/>
          <w:sz w:val="22"/>
          <w:szCs w:val="22"/>
        </w:rPr>
        <w:br/>
        <w:t>Position virtual care as a supported workflow with clear clinical guardrails, escalation, documentation expectations, and time-saving benefits for the service.</w:t>
      </w:r>
    </w:p>
    <w:p w14:paraId="7D8955E8" w14:textId="77777777" w:rsidR="007210F2" w:rsidRPr="00730379" w:rsidRDefault="007210F2" w:rsidP="007210F2">
      <w:pPr>
        <w:rPr>
          <w:rFonts w:ascii="Aptos" w:hAnsi="Aptos"/>
          <w:color w:val="013844"/>
          <w:sz w:val="22"/>
          <w:szCs w:val="22"/>
        </w:rPr>
      </w:pPr>
      <w:r w:rsidRPr="00730379">
        <w:rPr>
          <w:rFonts w:ascii="Aptos" w:hAnsi="Aptos"/>
          <w:b/>
          <w:bCs/>
          <w:color w:val="013844"/>
          <w:sz w:val="22"/>
          <w:szCs w:val="22"/>
        </w:rPr>
        <w:t>Audience: Admin and coordinators</w:t>
      </w:r>
      <w:r w:rsidRPr="00730379">
        <w:rPr>
          <w:rFonts w:ascii="Aptos" w:hAnsi="Aptos"/>
          <w:color w:val="013844"/>
          <w:sz w:val="22"/>
          <w:szCs w:val="22"/>
        </w:rPr>
        <w:br/>
        <w:t>Emphasise booking, room setup, patient preparation, and what a “good session” looks like so clinicians are not carrying admin load.</w:t>
      </w:r>
    </w:p>
    <w:p w14:paraId="18B1B2E6" w14:textId="77777777" w:rsidR="007210F2" w:rsidRPr="00730379" w:rsidRDefault="007210F2" w:rsidP="007210F2">
      <w:pPr>
        <w:rPr>
          <w:rFonts w:ascii="Aptos" w:hAnsi="Aptos"/>
          <w:color w:val="013844"/>
          <w:sz w:val="22"/>
          <w:szCs w:val="22"/>
        </w:rPr>
      </w:pPr>
      <w:r w:rsidRPr="00730379">
        <w:rPr>
          <w:rFonts w:ascii="Aptos" w:hAnsi="Aptos"/>
          <w:b/>
          <w:bCs/>
          <w:color w:val="013844"/>
          <w:sz w:val="22"/>
          <w:szCs w:val="22"/>
        </w:rPr>
        <w:lastRenderedPageBreak/>
        <w:t>Audience: External clinicians and partners</w:t>
      </w:r>
      <w:r w:rsidRPr="00730379">
        <w:rPr>
          <w:rFonts w:ascii="Aptos" w:hAnsi="Aptos"/>
          <w:color w:val="013844"/>
          <w:sz w:val="22"/>
          <w:szCs w:val="22"/>
        </w:rPr>
        <w:br/>
        <w:t>Focus on simplicity: how to join, how bookings happen, what onsite support exists, and how information is shared.</w:t>
      </w:r>
    </w:p>
    <w:p w14:paraId="7428E0B7" w14:textId="77777777" w:rsidR="007210F2" w:rsidRPr="00730379" w:rsidRDefault="007210F2" w:rsidP="007210F2">
      <w:pPr>
        <w:rPr>
          <w:rFonts w:ascii="Aptos" w:hAnsi="Aptos"/>
          <w:color w:val="013844"/>
          <w:sz w:val="22"/>
          <w:szCs w:val="22"/>
        </w:rPr>
      </w:pPr>
      <w:r w:rsidRPr="00730379">
        <w:rPr>
          <w:rFonts w:ascii="Aptos" w:hAnsi="Aptos"/>
          <w:b/>
          <w:bCs/>
          <w:color w:val="013844"/>
          <w:sz w:val="22"/>
          <w:szCs w:val="22"/>
        </w:rPr>
        <w:t>Audience: Patients and community (especially ACCHO)</w:t>
      </w:r>
      <w:r w:rsidRPr="00730379">
        <w:rPr>
          <w:rFonts w:ascii="Aptos" w:hAnsi="Aptos"/>
          <w:color w:val="013844"/>
          <w:sz w:val="22"/>
          <w:szCs w:val="22"/>
        </w:rPr>
        <w:br/>
        <w:t xml:space="preserve">Lead with trust: choice, privacy, who will be present, and how virtual care supports timely access while keeping care connected to Country and community governance. NSW virtual care implementation resources include cultural safety considerations in virtual care service design. </w:t>
      </w:r>
    </w:p>
    <w:p w14:paraId="5F41D167"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7.4 Champions and local ownership</w:t>
      </w:r>
    </w:p>
    <w:p w14:paraId="7B0B3F3F"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Nominate at least two site champions and make the role explicit: practical peer support, short “floor walking” coaching, and a direct line into the issues log. Champions reduce reliance on the vendor and accelerate normalisation of workflows, which is consistent with common adoption guidance in implementation playbooks. </w:t>
      </w:r>
    </w:p>
    <w:p w14:paraId="79864420"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7.5 Communications plan and schedule</w:t>
      </w:r>
    </w:p>
    <w:p w14:paraId="2EF083BA"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Use the table below as the site’s minimum comms schedule. Keep messaging short and operational, and always include “what’s changing, when, who it helps, how to get support”.</w:t>
      </w:r>
    </w:p>
    <w:tbl>
      <w:tblPr>
        <w:tblW w:w="9057" w:type="dxa"/>
        <w:tblCellSpacing w:w="15" w:type="dxa"/>
        <w:tblCellMar>
          <w:top w:w="15" w:type="dxa"/>
          <w:left w:w="15" w:type="dxa"/>
          <w:bottom w:w="15" w:type="dxa"/>
          <w:right w:w="15" w:type="dxa"/>
        </w:tblCellMar>
        <w:tblLook w:val="04A0" w:firstRow="1" w:lastRow="0" w:firstColumn="1" w:lastColumn="0" w:noHBand="0" w:noVBand="1"/>
      </w:tblPr>
      <w:tblGrid>
        <w:gridCol w:w="757"/>
        <w:gridCol w:w="1035"/>
        <w:gridCol w:w="1839"/>
        <w:gridCol w:w="1415"/>
        <w:gridCol w:w="2627"/>
        <w:gridCol w:w="1384"/>
      </w:tblGrid>
      <w:tr w:rsidR="007210F2" w:rsidRPr="00730379" w14:paraId="0360F5F5" w14:textId="77777777" w:rsidTr="00E43B97">
        <w:trPr>
          <w:tblHeader/>
          <w:tblCellSpacing w:w="15" w:type="dxa"/>
        </w:trPr>
        <w:tc>
          <w:tcPr>
            <w:tcW w:w="712" w:type="dxa"/>
            <w:vAlign w:val="center"/>
            <w:hideMark/>
          </w:tcPr>
          <w:p w14:paraId="5BFA3309"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Timing</w:t>
            </w:r>
          </w:p>
        </w:tc>
        <w:tc>
          <w:tcPr>
            <w:tcW w:w="1005" w:type="dxa"/>
            <w:vAlign w:val="center"/>
            <w:hideMark/>
          </w:tcPr>
          <w:p w14:paraId="2884D084"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Sender</w:t>
            </w:r>
          </w:p>
        </w:tc>
        <w:tc>
          <w:tcPr>
            <w:tcW w:w="1809" w:type="dxa"/>
            <w:vAlign w:val="center"/>
            <w:hideMark/>
          </w:tcPr>
          <w:p w14:paraId="0A400F2E"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Audience</w:t>
            </w:r>
          </w:p>
        </w:tc>
        <w:tc>
          <w:tcPr>
            <w:tcW w:w="1385" w:type="dxa"/>
            <w:vAlign w:val="center"/>
            <w:hideMark/>
          </w:tcPr>
          <w:p w14:paraId="5693062A"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Channel</w:t>
            </w:r>
          </w:p>
        </w:tc>
        <w:tc>
          <w:tcPr>
            <w:tcW w:w="2597" w:type="dxa"/>
            <w:vAlign w:val="center"/>
            <w:hideMark/>
          </w:tcPr>
          <w:p w14:paraId="61606AC6"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Purpose</w:t>
            </w:r>
          </w:p>
        </w:tc>
        <w:tc>
          <w:tcPr>
            <w:tcW w:w="1339" w:type="dxa"/>
            <w:vAlign w:val="center"/>
            <w:hideMark/>
          </w:tcPr>
          <w:p w14:paraId="4AED0EE3"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Artefact</w:t>
            </w:r>
          </w:p>
        </w:tc>
      </w:tr>
      <w:tr w:rsidR="007210F2" w:rsidRPr="00730379" w14:paraId="12EA6FE1" w14:textId="77777777" w:rsidTr="00E43B97">
        <w:trPr>
          <w:tblCellSpacing w:w="15" w:type="dxa"/>
        </w:trPr>
        <w:tc>
          <w:tcPr>
            <w:tcW w:w="712" w:type="dxa"/>
            <w:vAlign w:val="center"/>
            <w:hideMark/>
          </w:tcPr>
          <w:p w14:paraId="39C8632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T-2 weeks</w:t>
            </w:r>
          </w:p>
        </w:tc>
        <w:tc>
          <w:tcPr>
            <w:tcW w:w="1005" w:type="dxa"/>
            <w:vAlign w:val="center"/>
            <w:hideMark/>
          </w:tcPr>
          <w:p w14:paraId="57910DB6"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CEO (Exec Sponsor)</w:t>
            </w:r>
          </w:p>
        </w:tc>
        <w:tc>
          <w:tcPr>
            <w:tcW w:w="1809" w:type="dxa"/>
            <w:vAlign w:val="center"/>
            <w:hideMark/>
          </w:tcPr>
          <w:p w14:paraId="72C7D59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All site staff</w:t>
            </w:r>
          </w:p>
        </w:tc>
        <w:tc>
          <w:tcPr>
            <w:tcW w:w="1385" w:type="dxa"/>
            <w:vAlign w:val="center"/>
            <w:hideMark/>
          </w:tcPr>
          <w:p w14:paraId="7759A67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Email</w:t>
            </w:r>
          </w:p>
        </w:tc>
        <w:tc>
          <w:tcPr>
            <w:tcW w:w="2597" w:type="dxa"/>
            <w:vAlign w:val="center"/>
            <w:hideMark/>
          </w:tcPr>
          <w:p w14:paraId="4555293B"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Why we are implementing virtual care, what success looks like, who is leading it</w:t>
            </w:r>
          </w:p>
        </w:tc>
        <w:tc>
          <w:tcPr>
            <w:tcW w:w="1339" w:type="dxa"/>
            <w:vAlign w:val="center"/>
            <w:hideMark/>
          </w:tcPr>
          <w:p w14:paraId="6F1BA73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CEO note</w:t>
            </w:r>
          </w:p>
        </w:tc>
      </w:tr>
      <w:tr w:rsidR="007210F2" w:rsidRPr="00730379" w14:paraId="4F8834E8" w14:textId="77777777" w:rsidTr="00E43B97">
        <w:trPr>
          <w:tblCellSpacing w:w="15" w:type="dxa"/>
        </w:trPr>
        <w:tc>
          <w:tcPr>
            <w:tcW w:w="712" w:type="dxa"/>
            <w:vAlign w:val="center"/>
            <w:hideMark/>
          </w:tcPr>
          <w:p w14:paraId="46D2B32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T-10 days</w:t>
            </w:r>
          </w:p>
        </w:tc>
        <w:tc>
          <w:tcPr>
            <w:tcW w:w="1005" w:type="dxa"/>
            <w:vAlign w:val="center"/>
            <w:hideMark/>
          </w:tcPr>
          <w:p w14:paraId="1C2EA8C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1809" w:type="dxa"/>
            <w:vAlign w:val="center"/>
            <w:hideMark/>
          </w:tcPr>
          <w:p w14:paraId="450E493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 admin</w:t>
            </w:r>
          </w:p>
        </w:tc>
        <w:tc>
          <w:tcPr>
            <w:tcW w:w="1385" w:type="dxa"/>
            <w:vAlign w:val="center"/>
            <w:hideMark/>
          </w:tcPr>
          <w:p w14:paraId="501C8CA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Email/Teams</w:t>
            </w:r>
          </w:p>
        </w:tc>
        <w:tc>
          <w:tcPr>
            <w:tcW w:w="2597" w:type="dxa"/>
            <w:vAlign w:val="center"/>
            <w:hideMark/>
          </w:tcPr>
          <w:p w14:paraId="724D37F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What is changing, Phase 1 use cases, training dates, where to find SOPs</w:t>
            </w:r>
          </w:p>
        </w:tc>
        <w:tc>
          <w:tcPr>
            <w:tcW w:w="1339" w:type="dxa"/>
            <w:vAlign w:val="center"/>
            <w:hideMark/>
          </w:tcPr>
          <w:p w14:paraId="1769C3C6"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Staff launch email</w:t>
            </w:r>
          </w:p>
        </w:tc>
      </w:tr>
      <w:tr w:rsidR="007210F2" w:rsidRPr="00730379" w14:paraId="67AD3979" w14:textId="77777777" w:rsidTr="00E43B97">
        <w:trPr>
          <w:tblCellSpacing w:w="15" w:type="dxa"/>
        </w:trPr>
        <w:tc>
          <w:tcPr>
            <w:tcW w:w="712" w:type="dxa"/>
            <w:vAlign w:val="center"/>
            <w:hideMark/>
          </w:tcPr>
          <w:p w14:paraId="3762880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T-10 days</w:t>
            </w:r>
          </w:p>
        </w:tc>
        <w:tc>
          <w:tcPr>
            <w:tcW w:w="1005" w:type="dxa"/>
            <w:vAlign w:val="center"/>
            <w:hideMark/>
          </w:tcPr>
          <w:p w14:paraId="5A09C6B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1809" w:type="dxa"/>
            <w:vAlign w:val="center"/>
            <w:hideMark/>
          </w:tcPr>
          <w:p w14:paraId="4419479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Champions</w:t>
            </w:r>
          </w:p>
        </w:tc>
        <w:tc>
          <w:tcPr>
            <w:tcW w:w="1385" w:type="dxa"/>
            <w:vAlign w:val="center"/>
            <w:hideMark/>
          </w:tcPr>
          <w:p w14:paraId="18DBBE3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Invite</w:t>
            </w:r>
          </w:p>
        </w:tc>
        <w:tc>
          <w:tcPr>
            <w:tcW w:w="2597" w:type="dxa"/>
            <w:vAlign w:val="center"/>
            <w:hideMark/>
          </w:tcPr>
          <w:p w14:paraId="411D792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Confirm role expectations, time commitment, escalation pathway</w:t>
            </w:r>
          </w:p>
        </w:tc>
        <w:tc>
          <w:tcPr>
            <w:tcW w:w="1339" w:type="dxa"/>
            <w:vAlign w:val="center"/>
            <w:hideMark/>
          </w:tcPr>
          <w:p w14:paraId="22BDD551"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Champion invite</w:t>
            </w:r>
          </w:p>
        </w:tc>
      </w:tr>
      <w:tr w:rsidR="007210F2" w:rsidRPr="00730379" w14:paraId="7770EA7A" w14:textId="77777777" w:rsidTr="00E43B97">
        <w:trPr>
          <w:tblCellSpacing w:w="15" w:type="dxa"/>
        </w:trPr>
        <w:tc>
          <w:tcPr>
            <w:tcW w:w="712" w:type="dxa"/>
            <w:vAlign w:val="center"/>
            <w:hideMark/>
          </w:tcPr>
          <w:p w14:paraId="7B82C7D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T-7 days</w:t>
            </w:r>
          </w:p>
        </w:tc>
        <w:tc>
          <w:tcPr>
            <w:tcW w:w="1005" w:type="dxa"/>
            <w:vAlign w:val="center"/>
            <w:hideMark/>
          </w:tcPr>
          <w:p w14:paraId="633AABF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Lead</w:t>
            </w:r>
          </w:p>
        </w:tc>
        <w:tc>
          <w:tcPr>
            <w:tcW w:w="1809" w:type="dxa"/>
            <w:vAlign w:val="center"/>
            <w:hideMark/>
          </w:tcPr>
          <w:p w14:paraId="5CE35F8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Clinicians</w:t>
            </w:r>
          </w:p>
        </w:tc>
        <w:tc>
          <w:tcPr>
            <w:tcW w:w="1385" w:type="dxa"/>
            <w:vAlign w:val="center"/>
            <w:hideMark/>
          </w:tcPr>
          <w:p w14:paraId="19D44DC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Huddle/briefing</w:t>
            </w:r>
          </w:p>
        </w:tc>
        <w:tc>
          <w:tcPr>
            <w:tcW w:w="2597" w:type="dxa"/>
            <w:vAlign w:val="center"/>
            <w:hideMark/>
          </w:tcPr>
          <w:p w14:paraId="00B8AAA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appropriateness, escalation, documentation, safety guardrails</w:t>
            </w:r>
          </w:p>
        </w:tc>
        <w:tc>
          <w:tcPr>
            <w:tcW w:w="1339" w:type="dxa"/>
            <w:vAlign w:val="center"/>
            <w:hideMark/>
          </w:tcPr>
          <w:p w14:paraId="4778917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briefing pack</w:t>
            </w:r>
          </w:p>
        </w:tc>
      </w:tr>
      <w:tr w:rsidR="007210F2" w:rsidRPr="00730379" w14:paraId="639F5BFF" w14:textId="77777777" w:rsidTr="00E43B97">
        <w:trPr>
          <w:tblCellSpacing w:w="15" w:type="dxa"/>
        </w:trPr>
        <w:tc>
          <w:tcPr>
            <w:tcW w:w="712" w:type="dxa"/>
            <w:vAlign w:val="center"/>
            <w:hideMark/>
          </w:tcPr>
          <w:p w14:paraId="41E03FB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T-7 days</w:t>
            </w:r>
          </w:p>
        </w:tc>
        <w:tc>
          <w:tcPr>
            <w:tcW w:w="1005" w:type="dxa"/>
            <w:vAlign w:val="center"/>
            <w:hideMark/>
          </w:tcPr>
          <w:p w14:paraId="52F9DB0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1809" w:type="dxa"/>
            <w:vAlign w:val="center"/>
            <w:hideMark/>
          </w:tcPr>
          <w:p w14:paraId="56554DB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External clinicians/partners</w:t>
            </w:r>
          </w:p>
        </w:tc>
        <w:tc>
          <w:tcPr>
            <w:tcW w:w="1385" w:type="dxa"/>
            <w:vAlign w:val="center"/>
            <w:hideMark/>
          </w:tcPr>
          <w:p w14:paraId="2192ACE9"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Email</w:t>
            </w:r>
          </w:p>
        </w:tc>
        <w:tc>
          <w:tcPr>
            <w:tcW w:w="2597" w:type="dxa"/>
            <w:vAlign w:val="center"/>
            <w:hideMark/>
          </w:tcPr>
          <w:p w14:paraId="13003B2B"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How to join, booking pathway, test call booking, support contacts</w:t>
            </w:r>
          </w:p>
        </w:tc>
        <w:tc>
          <w:tcPr>
            <w:tcW w:w="1339" w:type="dxa"/>
            <w:vAlign w:val="center"/>
            <w:hideMark/>
          </w:tcPr>
          <w:p w14:paraId="0AEA8FE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External clinician invite</w:t>
            </w:r>
          </w:p>
        </w:tc>
      </w:tr>
      <w:tr w:rsidR="007210F2" w:rsidRPr="00730379" w14:paraId="67E5BB77" w14:textId="77777777" w:rsidTr="00E43B97">
        <w:trPr>
          <w:tblCellSpacing w:w="15" w:type="dxa"/>
        </w:trPr>
        <w:tc>
          <w:tcPr>
            <w:tcW w:w="712" w:type="dxa"/>
            <w:vAlign w:val="center"/>
            <w:hideMark/>
          </w:tcPr>
          <w:p w14:paraId="73991F9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lastRenderedPageBreak/>
              <w:t>T-2 days</w:t>
            </w:r>
          </w:p>
        </w:tc>
        <w:tc>
          <w:tcPr>
            <w:tcW w:w="1005" w:type="dxa"/>
            <w:vAlign w:val="center"/>
            <w:hideMark/>
          </w:tcPr>
          <w:p w14:paraId="545F1CB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1809" w:type="dxa"/>
            <w:vAlign w:val="center"/>
            <w:hideMark/>
          </w:tcPr>
          <w:p w14:paraId="5FDE2971"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All site staff</w:t>
            </w:r>
          </w:p>
        </w:tc>
        <w:tc>
          <w:tcPr>
            <w:tcW w:w="1385" w:type="dxa"/>
            <w:vAlign w:val="center"/>
            <w:hideMark/>
          </w:tcPr>
          <w:p w14:paraId="68E8C96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Email/Teams</w:t>
            </w:r>
          </w:p>
        </w:tc>
        <w:tc>
          <w:tcPr>
            <w:tcW w:w="2597" w:type="dxa"/>
            <w:vAlign w:val="center"/>
            <w:hideMark/>
          </w:tcPr>
          <w:p w14:paraId="4582C60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Go-live date, what to do on day 1, </w:t>
            </w:r>
            <w:proofErr w:type="spellStart"/>
            <w:r w:rsidRPr="00730379">
              <w:rPr>
                <w:rFonts w:ascii="Aptos" w:hAnsi="Aptos"/>
                <w:color w:val="013844"/>
                <w:sz w:val="20"/>
                <w:szCs w:val="20"/>
              </w:rPr>
              <w:t>hypercare</w:t>
            </w:r>
            <w:proofErr w:type="spellEnd"/>
            <w:r w:rsidRPr="00730379">
              <w:rPr>
                <w:rFonts w:ascii="Aptos" w:hAnsi="Aptos"/>
                <w:color w:val="013844"/>
                <w:sz w:val="20"/>
                <w:szCs w:val="20"/>
              </w:rPr>
              <w:t xml:space="preserve"> support hours</w:t>
            </w:r>
          </w:p>
        </w:tc>
        <w:tc>
          <w:tcPr>
            <w:tcW w:w="1339" w:type="dxa"/>
            <w:vAlign w:val="center"/>
            <w:hideMark/>
          </w:tcPr>
          <w:p w14:paraId="44F436C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Go-live reminder</w:t>
            </w:r>
          </w:p>
        </w:tc>
      </w:tr>
      <w:tr w:rsidR="007210F2" w:rsidRPr="00730379" w14:paraId="35BF79FA" w14:textId="77777777" w:rsidTr="00E43B97">
        <w:trPr>
          <w:tblCellSpacing w:w="15" w:type="dxa"/>
        </w:trPr>
        <w:tc>
          <w:tcPr>
            <w:tcW w:w="712" w:type="dxa"/>
            <w:vAlign w:val="center"/>
            <w:hideMark/>
          </w:tcPr>
          <w:p w14:paraId="7355C24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Go-live day</w:t>
            </w:r>
          </w:p>
        </w:tc>
        <w:tc>
          <w:tcPr>
            <w:tcW w:w="1005" w:type="dxa"/>
            <w:vAlign w:val="center"/>
            <w:hideMark/>
          </w:tcPr>
          <w:p w14:paraId="3C0A4BB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1809" w:type="dxa"/>
            <w:vAlign w:val="center"/>
            <w:hideMark/>
          </w:tcPr>
          <w:p w14:paraId="7208BC4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 admin</w:t>
            </w:r>
          </w:p>
        </w:tc>
        <w:tc>
          <w:tcPr>
            <w:tcW w:w="1385" w:type="dxa"/>
            <w:vAlign w:val="center"/>
            <w:hideMark/>
          </w:tcPr>
          <w:p w14:paraId="542B93C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Huddle</w:t>
            </w:r>
          </w:p>
        </w:tc>
        <w:tc>
          <w:tcPr>
            <w:tcW w:w="2597" w:type="dxa"/>
            <w:vAlign w:val="center"/>
            <w:hideMark/>
          </w:tcPr>
          <w:p w14:paraId="26D05A8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Reinforce workflow and failover, confirm support</w:t>
            </w:r>
          </w:p>
        </w:tc>
        <w:tc>
          <w:tcPr>
            <w:tcW w:w="1339" w:type="dxa"/>
            <w:vAlign w:val="center"/>
            <w:hideMark/>
          </w:tcPr>
          <w:p w14:paraId="222D0FA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Day 1 run sheet</w:t>
            </w:r>
          </w:p>
        </w:tc>
      </w:tr>
      <w:tr w:rsidR="007210F2" w:rsidRPr="00730379" w14:paraId="5FF6C8DD" w14:textId="77777777" w:rsidTr="00E43B97">
        <w:trPr>
          <w:tblCellSpacing w:w="15" w:type="dxa"/>
        </w:trPr>
        <w:tc>
          <w:tcPr>
            <w:tcW w:w="712" w:type="dxa"/>
            <w:vAlign w:val="center"/>
            <w:hideMark/>
          </w:tcPr>
          <w:p w14:paraId="0DB737A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Week 1</w:t>
            </w:r>
          </w:p>
        </w:tc>
        <w:tc>
          <w:tcPr>
            <w:tcW w:w="1005" w:type="dxa"/>
            <w:vAlign w:val="center"/>
            <w:hideMark/>
          </w:tcPr>
          <w:p w14:paraId="48DEAE4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1809" w:type="dxa"/>
            <w:vAlign w:val="center"/>
            <w:hideMark/>
          </w:tcPr>
          <w:p w14:paraId="21CFAA0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Champions</w:t>
            </w:r>
          </w:p>
        </w:tc>
        <w:tc>
          <w:tcPr>
            <w:tcW w:w="1385" w:type="dxa"/>
            <w:vAlign w:val="center"/>
            <w:hideMark/>
          </w:tcPr>
          <w:p w14:paraId="36BA09F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Short check-in</w:t>
            </w:r>
          </w:p>
        </w:tc>
        <w:tc>
          <w:tcPr>
            <w:tcW w:w="2597" w:type="dxa"/>
            <w:vAlign w:val="center"/>
            <w:hideMark/>
          </w:tcPr>
          <w:p w14:paraId="1A1DDAA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Capture friction points, reinforce practice</w:t>
            </w:r>
          </w:p>
        </w:tc>
        <w:tc>
          <w:tcPr>
            <w:tcW w:w="1339" w:type="dxa"/>
            <w:vAlign w:val="center"/>
            <w:hideMark/>
          </w:tcPr>
          <w:p w14:paraId="065AAEF6"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Issues log update</w:t>
            </w:r>
          </w:p>
        </w:tc>
      </w:tr>
      <w:tr w:rsidR="007210F2" w:rsidRPr="00730379" w14:paraId="4F3541EB" w14:textId="77777777" w:rsidTr="00E43B97">
        <w:trPr>
          <w:tblCellSpacing w:w="15" w:type="dxa"/>
        </w:trPr>
        <w:tc>
          <w:tcPr>
            <w:tcW w:w="712" w:type="dxa"/>
            <w:vAlign w:val="center"/>
            <w:hideMark/>
          </w:tcPr>
          <w:p w14:paraId="1984BAA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Day 30</w:t>
            </w:r>
          </w:p>
        </w:tc>
        <w:tc>
          <w:tcPr>
            <w:tcW w:w="1005" w:type="dxa"/>
            <w:vAlign w:val="center"/>
            <w:hideMark/>
          </w:tcPr>
          <w:p w14:paraId="13F94F8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CEO + Clinical Lead</w:t>
            </w:r>
          </w:p>
        </w:tc>
        <w:tc>
          <w:tcPr>
            <w:tcW w:w="1809" w:type="dxa"/>
            <w:vAlign w:val="center"/>
            <w:hideMark/>
          </w:tcPr>
          <w:p w14:paraId="5E6C534B"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Steering group</w:t>
            </w:r>
          </w:p>
        </w:tc>
        <w:tc>
          <w:tcPr>
            <w:tcW w:w="1385" w:type="dxa"/>
            <w:vAlign w:val="center"/>
            <w:hideMark/>
          </w:tcPr>
          <w:p w14:paraId="7CC4440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Review</w:t>
            </w:r>
          </w:p>
        </w:tc>
        <w:tc>
          <w:tcPr>
            <w:tcW w:w="2597" w:type="dxa"/>
            <w:vAlign w:val="center"/>
            <w:hideMark/>
          </w:tcPr>
          <w:p w14:paraId="1071B97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Adoption baseline, safety and quality feedback, next improvements</w:t>
            </w:r>
          </w:p>
        </w:tc>
        <w:tc>
          <w:tcPr>
            <w:tcW w:w="1339" w:type="dxa"/>
            <w:vAlign w:val="center"/>
            <w:hideMark/>
          </w:tcPr>
          <w:p w14:paraId="75E4379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30-day review summary</w:t>
            </w:r>
          </w:p>
        </w:tc>
      </w:tr>
      <w:tr w:rsidR="007210F2" w:rsidRPr="00730379" w14:paraId="18550125" w14:textId="77777777" w:rsidTr="00E43B97">
        <w:trPr>
          <w:tblCellSpacing w:w="15" w:type="dxa"/>
        </w:trPr>
        <w:tc>
          <w:tcPr>
            <w:tcW w:w="712" w:type="dxa"/>
            <w:vAlign w:val="center"/>
            <w:hideMark/>
          </w:tcPr>
          <w:p w14:paraId="492EB8B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Day 90</w:t>
            </w:r>
          </w:p>
        </w:tc>
        <w:tc>
          <w:tcPr>
            <w:tcW w:w="1005" w:type="dxa"/>
            <w:vAlign w:val="center"/>
            <w:hideMark/>
          </w:tcPr>
          <w:p w14:paraId="20708D3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CEO + Clinical Lead</w:t>
            </w:r>
          </w:p>
        </w:tc>
        <w:tc>
          <w:tcPr>
            <w:tcW w:w="1809" w:type="dxa"/>
            <w:vAlign w:val="center"/>
            <w:hideMark/>
          </w:tcPr>
          <w:p w14:paraId="18E51BF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Steering group</w:t>
            </w:r>
          </w:p>
        </w:tc>
        <w:tc>
          <w:tcPr>
            <w:tcW w:w="1385" w:type="dxa"/>
            <w:vAlign w:val="center"/>
            <w:hideMark/>
          </w:tcPr>
          <w:p w14:paraId="286EAF0B"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Review</w:t>
            </w:r>
          </w:p>
        </w:tc>
        <w:tc>
          <w:tcPr>
            <w:tcW w:w="2597" w:type="dxa"/>
            <w:vAlign w:val="center"/>
            <w:hideMark/>
          </w:tcPr>
          <w:p w14:paraId="393E0A7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Outcomes, BAU embed, next use cases</w:t>
            </w:r>
          </w:p>
        </w:tc>
        <w:tc>
          <w:tcPr>
            <w:tcW w:w="1339" w:type="dxa"/>
            <w:vAlign w:val="center"/>
            <w:hideMark/>
          </w:tcPr>
          <w:p w14:paraId="1C237BE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90-day optimisation plan</w:t>
            </w:r>
          </w:p>
        </w:tc>
      </w:tr>
    </w:tbl>
    <w:p w14:paraId="1019B313"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This style of structured communication and reinforcement aligns with NSW virtual care implementation guidance and general best-practice implementation playbooks. </w:t>
      </w:r>
    </w:p>
    <w:p w14:paraId="44F79015"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7.6 Feedback loop and reinforcement</w:t>
      </w:r>
    </w:p>
    <w:p w14:paraId="685F4799"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Make it easy for staff to report problems and suggestions. The Project Lead maintains a simple log and closes the loop </w:t>
      </w:r>
      <w:proofErr w:type="gramStart"/>
      <w:r w:rsidRPr="00730379">
        <w:rPr>
          <w:rFonts w:ascii="Aptos" w:hAnsi="Aptos"/>
          <w:color w:val="013844"/>
          <w:sz w:val="22"/>
          <w:szCs w:val="22"/>
        </w:rPr>
        <w:t>weekly</w:t>
      </w:r>
      <w:proofErr w:type="gramEnd"/>
      <w:r w:rsidRPr="00730379">
        <w:rPr>
          <w:rFonts w:ascii="Aptos" w:hAnsi="Aptos"/>
          <w:color w:val="013844"/>
          <w:sz w:val="22"/>
          <w:szCs w:val="22"/>
        </w:rPr>
        <w:t xml:space="preserve"> so staff see progress. This is critical because early friction is usually what kills adoption, not the technology itself. Implementation playbooks emphasise iterative improvement and issue management during rollout and post go-live. </w:t>
      </w:r>
    </w:p>
    <w:p w14:paraId="2A4AADD9" w14:textId="77777777" w:rsidR="007210F2" w:rsidRPr="00730379" w:rsidRDefault="007210F2" w:rsidP="00E43B97">
      <w:pPr>
        <w:pStyle w:val="Heading3"/>
        <w:rPr>
          <w:rFonts w:ascii="Aptos" w:hAnsi="Aptos"/>
          <w:color w:val="013844"/>
          <w:sz w:val="24"/>
          <w:szCs w:val="24"/>
        </w:rPr>
      </w:pPr>
      <w:r w:rsidRPr="00730379">
        <w:rPr>
          <w:rFonts w:ascii="Aptos" w:hAnsi="Aptos"/>
          <w:color w:val="013844"/>
          <w:sz w:val="24"/>
          <w:szCs w:val="24"/>
        </w:rPr>
        <w:t>7.7 Deliverables</w:t>
      </w:r>
    </w:p>
    <w:p w14:paraId="0DFC1B94"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At the end of Section 7, the site has a complete, ready-to-send comms pack and an agreed schedule:</w:t>
      </w:r>
    </w:p>
    <w:p w14:paraId="1BBAA3A8" w14:textId="77777777" w:rsidR="007210F2" w:rsidRPr="00730379" w:rsidRDefault="007210F2" w:rsidP="007210F2">
      <w:pPr>
        <w:numPr>
          <w:ilvl w:val="0"/>
          <w:numId w:val="24"/>
        </w:numPr>
        <w:rPr>
          <w:rFonts w:ascii="Aptos" w:hAnsi="Aptos"/>
          <w:color w:val="013844"/>
          <w:sz w:val="22"/>
          <w:szCs w:val="22"/>
        </w:rPr>
      </w:pPr>
      <w:r w:rsidRPr="00730379">
        <w:rPr>
          <w:rFonts w:ascii="Aptos" w:hAnsi="Aptos"/>
          <w:color w:val="013844"/>
          <w:sz w:val="22"/>
          <w:szCs w:val="22"/>
        </w:rPr>
        <w:t xml:space="preserve">CEO </w:t>
      </w:r>
      <w:proofErr w:type="gramStart"/>
      <w:r w:rsidRPr="00730379">
        <w:rPr>
          <w:rFonts w:ascii="Aptos" w:hAnsi="Aptos"/>
          <w:color w:val="013844"/>
          <w:sz w:val="22"/>
          <w:szCs w:val="22"/>
        </w:rPr>
        <w:t>note</w:t>
      </w:r>
      <w:proofErr w:type="gramEnd"/>
    </w:p>
    <w:p w14:paraId="622521EC" w14:textId="77777777" w:rsidR="007210F2" w:rsidRPr="00730379" w:rsidRDefault="007210F2" w:rsidP="007210F2">
      <w:pPr>
        <w:numPr>
          <w:ilvl w:val="0"/>
          <w:numId w:val="24"/>
        </w:numPr>
        <w:rPr>
          <w:rFonts w:ascii="Aptos" w:hAnsi="Aptos"/>
          <w:color w:val="013844"/>
          <w:sz w:val="22"/>
          <w:szCs w:val="22"/>
        </w:rPr>
      </w:pPr>
      <w:r w:rsidRPr="00730379">
        <w:rPr>
          <w:rFonts w:ascii="Aptos" w:hAnsi="Aptos"/>
          <w:color w:val="013844"/>
          <w:sz w:val="22"/>
          <w:szCs w:val="22"/>
        </w:rPr>
        <w:t>Staff launch email</w:t>
      </w:r>
    </w:p>
    <w:p w14:paraId="459335EC" w14:textId="77777777" w:rsidR="007210F2" w:rsidRPr="00730379" w:rsidRDefault="007210F2" w:rsidP="007210F2">
      <w:pPr>
        <w:numPr>
          <w:ilvl w:val="0"/>
          <w:numId w:val="24"/>
        </w:numPr>
        <w:rPr>
          <w:rFonts w:ascii="Aptos" w:hAnsi="Aptos"/>
          <w:color w:val="013844"/>
          <w:sz w:val="22"/>
          <w:szCs w:val="22"/>
        </w:rPr>
      </w:pPr>
      <w:r w:rsidRPr="00730379">
        <w:rPr>
          <w:rFonts w:ascii="Aptos" w:hAnsi="Aptos"/>
          <w:color w:val="013844"/>
          <w:sz w:val="22"/>
          <w:szCs w:val="22"/>
        </w:rPr>
        <w:t>Champion invite</w:t>
      </w:r>
    </w:p>
    <w:p w14:paraId="3B887ABF" w14:textId="77777777" w:rsidR="007210F2" w:rsidRPr="00730379" w:rsidRDefault="007210F2" w:rsidP="007210F2">
      <w:pPr>
        <w:numPr>
          <w:ilvl w:val="0"/>
          <w:numId w:val="24"/>
        </w:numPr>
        <w:rPr>
          <w:rFonts w:ascii="Aptos" w:hAnsi="Aptos"/>
          <w:color w:val="013844"/>
          <w:sz w:val="22"/>
          <w:szCs w:val="22"/>
        </w:rPr>
      </w:pPr>
      <w:r w:rsidRPr="00730379">
        <w:rPr>
          <w:rFonts w:ascii="Aptos" w:hAnsi="Aptos"/>
          <w:color w:val="013844"/>
          <w:sz w:val="22"/>
          <w:szCs w:val="22"/>
        </w:rPr>
        <w:t>External clinician invite</w:t>
      </w:r>
    </w:p>
    <w:p w14:paraId="7DD9CD52" w14:textId="77777777" w:rsidR="007210F2" w:rsidRPr="00730379" w:rsidRDefault="007210F2" w:rsidP="007210F2">
      <w:pPr>
        <w:numPr>
          <w:ilvl w:val="0"/>
          <w:numId w:val="24"/>
        </w:numPr>
        <w:rPr>
          <w:rFonts w:ascii="Aptos" w:hAnsi="Aptos"/>
          <w:color w:val="013844"/>
          <w:sz w:val="22"/>
          <w:szCs w:val="22"/>
        </w:rPr>
      </w:pPr>
      <w:r w:rsidRPr="00730379">
        <w:rPr>
          <w:rFonts w:ascii="Aptos" w:hAnsi="Aptos"/>
          <w:color w:val="013844"/>
          <w:sz w:val="22"/>
          <w:szCs w:val="22"/>
        </w:rPr>
        <w:t>“How it works” one-pager</w:t>
      </w:r>
    </w:p>
    <w:p w14:paraId="27A6BE1F" w14:textId="77777777" w:rsidR="007210F2" w:rsidRPr="00730379" w:rsidRDefault="007210F2" w:rsidP="007210F2">
      <w:pPr>
        <w:numPr>
          <w:ilvl w:val="0"/>
          <w:numId w:val="24"/>
        </w:numPr>
        <w:rPr>
          <w:rFonts w:ascii="Aptos" w:hAnsi="Aptos"/>
          <w:color w:val="013844"/>
          <w:sz w:val="22"/>
          <w:szCs w:val="22"/>
        </w:rPr>
      </w:pPr>
      <w:r w:rsidRPr="00730379">
        <w:rPr>
          <w:rFonts w:ascii="Aptos" w:hAnsi="Aptos"/>
          <w:color w:val="013844"/>
          <w:sz w:val="22"/>
          <w:szCs w:val="22"/>
        </w:rPr>
        <w:t>Go-live reminder</w:t>
      </w:r>
    </w:p>
    <w:p w14:paraId="42D88480" w14:textId="77777777" w:rsidR="007210F2" w:rsidRPr="00730379" w:rsidRDefault="007210F2" w:rsidP="007210F2">
      <w:pPr>
        <w:numPr>
          <w:ilvl w:val="0"/>
          <w:numId w:val="24"/>
        </w:numPr>
        <w:rPr>
          <w:rFonts w:ascii="Aptos" w:hAnsi="Aptos"/>
          <w:color w:val="013844"/>
          <w:sz w:val="22"/>
          <w:szCs w:val="22"/>
        </w:rPr>
      </w:pPr>
      <w:r w:rsidRPr="00730379">
        <w:rPr>
          <w:rFonts w:ascii="Aptos" w:hAnsi="Aptos"/>
          <w:color w:val="013844"/>
          <w:sz w:val="22"/>
          <w:szCs w:val="22"/>
        </w:rPr>
        <w:t>30-day review template</w:t>
      </w:r>
    </w:p>
    <w:p w14:paraId="07600928"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lastRenderedPageBreak/>
        <w:t>7.8 Sign-off checkpoint</w:t>
      </w:r>
    </w:p>
    <w:p w14:paraId="0A4BF12B"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Executive Sponsor (CEO): 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Project Lead: 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Clinical Lead: ___________________________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52B2849C" w14:textId="77777777" w:rsidR="00BA74CE" w:rsidRDefault="00BA74CE" w:rsidP="007210F2">
      <w:pPr>
        <w:pStyle w:val="Heading2"/>
        <w:rPr>
          <w:rFonts w:ascii="Aptos" w:hAnsi="Aptos"/>
          <w:color w:val="013844"/>
          <w:sz w:val="28"/>
          <w:szCs w:val="28"/>
        </w:rPr>
      </w:pPr>
      <w:bookmarkStart w:id="7" w:name="_Toc219805101"/>
    </w:p>
    <w:p w14:paraId="094D9CC5" w14:textId="3E0AA714" w:rsidR="007210F2" w:rsidRPr="00BA74CE" w:rsidRDefault="00BA74CE" w:rsidP="007210F2">
      <w:pPr>
        <w:pStyle w:val="Heading2"/>
        <w:rPr>
          <w:rFonts w:ascii="Aptos" w:hAnsi="Aptos"/>
          <w:color w:val="013844"/>
        </w:rPr>
      </w:pPr>
      <w:r w:rsidRPr="00BA74CE">
        <w:rPr>
          <w:rFonts w:ascii="Aptos" w:hAnsi="Aptos"/>
          <w:color w:val="013844"/>
          <w:sz w:val="24"/>
          <w:szCs w:val="24"/>
        </w:rPr>
        <w:t>SECTION 8</w:t>
      </w:r>
      <w:r w:rsidRPr="00730379">
        <w:rPr>
          <w:rFonts w:ascii="Aptos" w:hAnsi="Aptos"/>
          <w:color w:val="013844"/>
          <w:sz w:val="28"/>
          <w:szCs w:val="28"/>
        </w:rPr>
        <w:t xml:space="preserve"> </w:t>
      </w:r>
      <w:r>
        <w:rPr>
          <w:rFonts w:ascii="Aptos" w:hAnsi="Aptos"/>
          <w:color w:val="013844"/>
          <w:sz w:val="28"/>
          <w:szCs w:val="28"/>
        </w:rPr>
        <w:br/>
      </w:r>
      <w:r w:rsidR="007210F2" w:rsidRPr="00BA74CE">
        <w:rPr>
          <w:rFonts w:ascii="Aptos" w:hAnsi="Aptos"/>
          <w:b/>
          <w:bCs/>
          <w:color w:val="013844"/>
        </w:rPr>
        <w:t>Training and competency</w:t>
      </w:r>
      <w:bookmarkEnd w:id="7"/>
    </w:p>
    <w:p w14:paraId="0183F036"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8.1 Objective</w:t>
      </w:r>
    </w:p>
    <w:p w14:paraId="3DA2F566"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Equip staff at [Site] with the practical skills, confidence, and judgement required to deliver safe, consistent virtual care for the Phase 1 use cases, including consent, identity confirmation, privacy, clinical appropriateness, escalation, and technology failover. This aligns with NSW virtual care education expectations and national regulator guidance that the same professional standards apply regardless of modality. </w:t>
      </w:r>
    </w:p>
    <w:p w14:paraId="2FAD2339"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8.2 Training approach</w:t>
      </w:r>
    </w:p>
    <w:p w14:paraId="202D067E"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This plan uses three layers: role-based training, simulation on the actual workflows, then a lightweight competency check so go-live is based on evidence, not optimism. NSW Health’s virtual care education framework and training resources emphasise building capability for virtual care delivery, not just tool use. </w:t>
      </w:r>
    </w:p>
    <w:p w14:paraId="7A5EDFDE"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8.3 Training audiences (define roles for this site)</w:t>
      </w:r>
    </w:p>
    <w:p w14:paraId="24BF4E85"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Populate this list for the site so training is targeted and short.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50"/>
        <w:gridCol w:w="3745"/>
        <w:gridCol w:w="4653"/>
      </w:tblGrid>
      <w:tr w:rsidR="007210F2" w:rsidRPr="00730379" w14:paraId="3C918D84" w14:textId="77777777">
        <w:trPr>
          <w:tblHeader/>
          <w:tblCellSpacing w:w="15" w:type="dxa"/>
        </w:trPr>
        <w:tc>
          <w:tcPr>
            <w:tcW w:w="0" w:type="auto"/>
            <w:vAlign w:val="center"/>
            <w:hideMark/>
          </w:tcPr>
          <w:p w14:paraId="5A341C5B"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Audience</w:t>
            </w:r>
          </w:p>
        </w:tc>
        <w:tc>
          <w:tcPr>
            <w:tcW w:w="0" w:type="auto"/>
            <w:vAlign w:val="center"/>
            <w:hideMark/>
          </w:tcPr>
          <w:p w14:paraId="1C30B94F"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Typical roles</w:t>
            </w:r>
          </w:p>
        </w:tc>
        <w:tc>
          <w:tcPr>
            <w:tcW w:w="0" w:type="auto"/>
            <w:vAlign w:val="center"/>
            <w:hideMark/>
          </w:tcPr>
          <w:p w14:paraId="1441D4E8"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Primary responsibility in the workflow</w:t>
            </w:r>
          </w:p>
        </w:tc>
      </w:tr>
      <w:tr w:rsidR="007210F2" w:rsidRPr="00730379" w14:paraId="480CC888" w14:textId="77777777">
        <w:trPr>
          <w:tblCellSpacing w:w="15" w:type="dxa"/>
        </w:trPr>
        <w:tc>
          <w:tcPr>
            <w:tcW w:w="0" w:type="auto"/>
            <w:vAlign w:val="center"/>
            <w:hideMark/>
          </w:tcPr>
          <w:p w14:paraId="36EED48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users</w:t>
            </w:r>
          </w:p>
        </w:tc>
        <w:tc>
          <w:tcPr>
            <w:tcW w:w="0" w:type="auto"/>
            <w:vAlign w:val="center"/>
            <w:hideMark/>
          </w:tcPr>
          <w:p w14:paraId="035AFA49"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GPs, nurses, allied health, onsite clinicians</w:t>
            </w:r>
          </w:p>
        </w:tc>
        <w:tc>
          <w:tcPr>
            <w:tcW w:w="0" w:type="auto"/>
            <w:vAlign w:val="center"/>
            <w:hideMark/>
          </w:tcPr>
          <w:p w14:paraId="5440767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delivery, consent, escalation, documentation</w:t>
            </w:r>
          </w:p>
        </w:tc>
      </w:tr>
      <w:tr w:rsidR="007210F2" w:rsidRPr="00730379" w14:paraId="58680784" w14:textId="77777777">
        <w:trPr>
          <w:tblCellSpacing w:w="15" w:type="dxa"/>
        </w:trPr>
        <w:tc>
          <w:tcPr>
            <w:tcW w:w="0" w:type="auto"/>
            <w:vAlign w:val="center"/>
            <w:hideMark/>
          </w:tcPr>
          <w:p w14:paraId="2D75F06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Coordinators</w:t>
            </w:r>
          </w:p>
        </w:tc>
        <w:tc>
          <w:tcPr>
            <w:tcW w:w="0" w:type="auto"/>
            <w:vAlign w:val="center"/>
            <w:hideMark/>
          </w:tcPr>
          <w:p w14:paraId="2095A2C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Reception, admin, care coordinators</w:t>
            </w:r>
          </w:p>
        </w:tc>
        <w:tc>
          <w:tcPr>
            <w:tcW w:w="0" w:type="auto"/>
            <w:vAlign w:val="center"/>
            <w:hideMark/>
          </w:tcPr>
          <w:p w14:paraId="27934919"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Booking, patient preparation, room setup, follow-up</w:t>
            </w:r>
          </w:p>
        </w:tc>
      </w:tr>
      <w:tr w:rsidR="007210F2" w:rsidRPr="00730379" w14:paraId="4703250A" w14:textId="77777777">
        <w:trPr>
          <w:tblCellSpacing w:w="15" w:type="dxa"/>
        </w:trPr>
        <w:tc>
          <w:tcPr>
            <w:tcW w:w="0" w:type="auto"/>
            <w:vAlign w:val="center"/>
            <w:hideMark/>
          </w:tcPr>
          <w:p w14:paraId="29F53F1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Champions</w:t>
            </w:r>
          </w:p>
        </w:tc>
        <w:tc>
          <w:tcPr>
            <w:tcW w:w="0" w:type="auto"/>
            <w:vAlign w:val="center"/>
            <w:hideMark/>
          </w:tcPr>
          <w:p w14:paraId="408199D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Nominated clinical/admin champions</w:t>
            </w:r>
          </w:p>
        </w:tc>
        <w:tc>
          <w:tcPr>
            <w:tcW w:w="0" w:type="auto"/>
            <w:vAlign w:val="center"/>
            <w:hideMark/>
          </w:tcPr>
          <w:p w14:paraId="46F8849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Peer support, first-line coaching, feedback loop</w:t>
            </w:r>
          </w:p>
        </w:tc>
      </w:tr>
      <w:tr w:rsidR="007210F2" w:rsidRPr="00730379" w14:paraId="6750504B" w14:textId="77777777">
        <w:trPr>
          <w:tblCellSpacing w:w="15" w:type="dxa"/>
        </w:trPr>
        <w:tc>
          <w:tcPr>
            <w:tcW w:w="0" w:type="auto"/>
            <w:vAlign w:val="center"/>
            <w:hideMark/>
          </w:tcPr>
          <w:p w14:paraId="5EB0D376"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IT support</w:t>
            </w:r>
          </w:p>
        </w:tc>
        <w:tc>
          <w:tcPr>
            <w:tcW w:w="0" w:type="auto"/>
            <w:vAlign w:val="center"/>
            <w:hideMark/>
          </w:tcPr>
          <w:p w14:paraId="40AD461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IT or designated super user</w:t>
            </w:r>
          </w:p>
        </w:tc>
        <w:tc>
          <w:tcPr>
            <w:tcW w:w="0" w:type="auto"/>
            <w:vAlign w:val="center"/>
            <w:hideMark/>
          </w:tcPr>
          <w:p w14:paraId="52677DC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Access, network checks, troubleshooting, escalation</w:t>
            </w:r>
          </w:p>
        </w:tc>
      </w:tr>
    </w:tbl>
    <w:p w14:paraId="0F253EC4" w14:textId="2EBCFC43"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 xml:space="preserve">8.4 Training schedule </w:t>
      </w:r>
    </w:p>
    <w:p w14:paraId="22E59FCD"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Adjust timing to suit operational reality. Keep sessions short and repeatable.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1"/>
        <w:gridCol w:w="1927"/>
        <w:gridCol w:w="850"/>
        <w:gridCol w:w="1781"/>
        <w:gridCol w:w="1474"/>
        <w:gridCol w:w="2888"/>
      </w:tblGrid>
      <w:tr w:rsidR="007210F2" w:rsidRPr="00730379" w14:paraId="2400E194" w14:textId="77777777">
        <w:trPr>
          <w:tblHeader/>
          <w:tblCellSpacing w:w="15" w:type="dxa"/>
        </w:trPr>
        <w:tc>
          <w:tcPr>
            <w:tcW w:w="0" w:type="auto"/>
            <w:vAlign w:val="center"/>
            <w:hideMark/>
          </w:tcPr>
          <w:p w14:paraId="5E303098"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lastRenderedPageBreak/>
              <w:t>Timing</w:t>
            </w:r>
          </w:p>
        </w:tc>
        <w:tc>
          <w:tcPr>
            <w:tcW w:w="0" w:type="auto"/>
            <w:vAlign w:val="center"/>
            <w:hideMark/>
          </w:tcPr>
          <w:p w14:paraId="79C52F1A"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Session</w:t>
            </w:r>
          </w:p>
        </w:tc>
        <w:tc>
          <w:tcPr>
            <w:tcW w:w="0" w:type="auto"/>
            <w:vAlign w:val="center"/>
            <w:hideMark/>
          </w:tcPr>
          <w:p w14:paraId="1CACEA44"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Duration</w:t>
            </w:r>
          </w:p>
        </w:tc>
        <w:tc>
          <w:tcPr>
            <w:tcW w:w="0" w:type="auto"/>
            <w:vAlign w:val="center"/>
            <w:hideMark/>
          </w:tcPr>
          <w:p w14:paraId="30A3E2E2"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Audience</w:t>
            </w:r>
          </w:p>
        </w:tc>
        <w:tc>
          <w:tcPr>
            <w:tcW w:w="0" w:type="auto"/>
            <w:vAlign w:val="center"/>
            <w:hideMark/>
          </w:tcPr>
          <w:p w14:paraId="1A43CA13"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Facilitator</w:t>
            </w:r>
          </w:p>
        </w:tc>
        <w:tc>
          <w:tcPr>
            <w:tcW w:w="0" w:type="auto"/>
            <w:vAlign w:val="center"/>
            <w:hideMark/>
          </w:tcPr>
          <w:p w14:paraId="35AC09CE"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Output</w:t>
            </w:r>
          </w:p>
        </w:tc>
      </w:tr>
      <w:tr w:rsidR="007210F2" w:rsidRPr="00730379" w14:paraId="372361A3" w14:textId="77777777">
        <w:trPr>
          <w:tblCellSpacing w:w="15" w:type="dxa"/>
        </w:trPr>
        <w:tc>
          <w:tcPr>
            <w:tcW w:w="0" w:type="auto"/>
            <w:vAlign w:val="center"/>
            <w:hideMark/>
          </w:tcPr>
          <w:p w14:paraId="50DAB80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Week 1</w:t>
            </w:r>
          </w:p>
        </w:tc>
        <w:tc>
          <w:tcPr>
            <w:tcW w:w="0" w:type="auto"/>
            <w:vAlign w:val="center"/>
            <w:hideMark/>
          </w:tcPr>
          <w:p w14:paraId="71D255B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Orientation and use case walkthrough</w:t>
            </w:r>
          </w:p>
        </w:tc>
        <w:tc>
          <w:tcPr>
            <w:tcW w:w="0" w:type="auto"/>
            <w:vAlign w:val="center"/>
            <w:hideMark/>
          </w:tcPr>
          <w:p w14:paraId="2D2EDBF1"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45 min</w:t>
            </w:r>
          </w:p>
        </w:tc>
        <w:tc>
          <w:tcPr>
            <w:tcW w:w="0" w:type="auto"/>
            <w:vAlign w:val="center"/>
            <w:hideMark/>
          </w:tcPr>
          <w:p w14:paraId="79B888A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All relevant staff</w:t>
            </w:r>
          </w:p>
        </w:tc>
        <w:tc>
          <w:tcPr>
            <w:tcW w:w="0" w:type="auto"/>
            <w:vAlign w:val="center"/>
            <w:hideMark/>
          </w:tcPr>
          <w:p w14:paraId="375EB81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 + Visionflex</w:t>
            </w:r>
          </w:p>
        </w:tc>
        <w:tc>
          <w:tcPr>
            <w:tcW w:w="0" w:type="auto"/>
            <w:vAlign w:val="center"/>
            <w:hideMark/>
          </w:tcPr>
          <w:p w14:paraId="47CA4E1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Shared understanding of UC1–UC3</w:t>
            </w:r>
          </w:p>
        </w:tc>
      </w:tr>
      <w:tr w:rsidR="007210F2" w:rsidRPr="00730379" w14:paraId="5047C409" w14:textId="77777777">
        <w:trPr>
          <w:tblCellSpacing w:w="15" w:type="dxa"/>
        </w:trPr>
        <w:tc>
          <w:tcPr>
            <w:tcW w:w="0" w:type="auto"/>
            <w:vAlign w:val="center"/>
            <w:hideMark/>
          </w:tcPr>
          <w:p w14:paraId="63657F6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Week 1</w:t>
            </w:r>
          </w:p>
        </w:tc>
        <w:tc>
          <w:tcPr>
            <w:tcW w:w="0" w:type="auto"/>
            <w:vAlign w:val="center"/>
            <w:hideMark/>
          </w:tcPr>
          <w:p w14:paraId="47D5A6C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Secure setup and privacy basics</w:t>
            </w:r>
          </w:p>
        </w:tc>
        <w:tc>
          <w:tcPr>
            <w:tcW w:w="0" w:type="auto"/>
            <w:vAlign w:val="center"/>
            <w:hideMark/>
          </w:tcPr>
          <w:p w14:paraId="6A6BECA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30 min</w:t>
            </w:r>
          </w:p>
        </w:tc>
        <w:tc>
          <w:tcPr>
            <w:tcW w:w="0" w:type="auto"/>
            <w:vAlign w:val="center"/>
            <w:hideMark/>
          </w:tcPr>
          <w:p w14:paraId="4962534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 admin + IT</w:t>
            </w:r>
          </w:p>
        </w:tc>
        <w:tc>
          <w:tcPr>
            <w:tcW w:w="0" w:type="auto"/>
            <w:vAlign w:val="center"/>
            <w:hideMark/>
          </w:tcPr>
          <w:p w14:paraId="5C22974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IT Lead + Visionflex</w:t>
            </w:r>
          </w:p>
        </w:tc>
        <w:tc>
          <w:tcPr>
            <w:tcW w:w="0" w:type="auto"/>
            <w:vAlign w:val="center"/>
            <w:hideMark/>
          </w:tcPr>
          <w:p w14:paraId="361149C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Staff know “what not to do” and how to run sessions securely </w:t>
            </w:r>
          </w:p>
        </w:tc>
      </w:tr>
      <w:tr w:rsidR="007210F2" w:rsidRPr="00730379" w14:paraId="577F0A86" w14:textId="77777777">
        <w:trPr>
          <w:tblCellSpacing w:w="15" w:type="dxa"/>
        </w:trPr>
        <w:tc>
          <w:tcPr>
            <w:tcW w:w="0" w:type="auto"/>
            <w:vAlign w:val="center"/>
            <w:hideMark/>
          </w:tcPr>
          <w:p w14:paraId="6C38735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Week 2</w:t>
            </w:r>
          </w:p>
        </w:tc>
        <w:tc>
          <w:tcPr>
            <w:tcW w:w="0" w:type="auto"/>
            <w:vAlign w:val="center"/>
            <w:hideMark/>
          </w:tcPr>
          <w:p w14:paraId="4CACF9C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Train-the-trainer</w:t>
            </w:r>
          </w:p>
        </w:tc>
        <w:tc>
          <w:tcPr>
            <w:tcW w:w="0" w:type="auto"/>
            <w:vAlign w:val="center"/>
            <w:hideMark/>
          </w:tcPr>
          <w:p w14:paraId="22F69A1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60 min</w:t>
            </w:r>
          </w:p>
        </w:tc>
        <w:tc>
          <w:tcPr>
            <w:tcW w:w="0" w:type="auto"/>
            <w:vAlign w:val="center"/>
            <w:hideMark/>
          </w:tcPr>
          <w:p w14:paraId="69831011"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Champions</w:t>
            </w:r>
          </w:p>
        </w:tc>
        <w:tc>
          <w:tcPr>
            <w:tcW w:w="0" w:type="auto"/>
            <w:vAlign w:val="center"/>
            <w:hideMark/>
          </w:tcPr>
          <w:p w14:paraId="640C4B9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Visionflex</w:t>
            </w:r>
          </w:p>
        </w:tc>
        <w:tc>
          <w:tcPr>
            <w:tcW w:w="0" w:type="auto"/>
            <w:vAlign w:val="center"/>
            <w:hideMark/>
          </w:tcPr>
          <w:p w14:paraId="46BCE3E1"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Champions able to coach peers</w:t>
            </w:r>
          </w:p>
        </w:tc>
      </w:tr>
      <w:tr w:rsidR="007210F2" w:rsidRPr="00730379" w14:paraId="58991D9F" w14:textId="77777777">
        <w:trPr>
          <w:tblCellSpacing w:w="15" w:type="dxa"/>
        </w:trPr>
        <w:tc>
          <w:tcPr>
            <w:tcW w:w="0" w:type="auto"/>
            <w:vAlign w:val="center"/>
            <w:hideMark/>
          </w:tcPr>
          <w:p w14:paraId="3FC3A41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Week 2</w:t>
            </w:r>
          </w:p>
        </w:tc>
        <w:tc>
          <w:tcPr>
            <w:tcW w:w="0" w:type="auto"/>
            <w:vAlign w:val="center"/>
            <w:hideMark/>
          </w:tcPr>
          <w:p w14:paraId="4F7A4E3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Role-based clinical session</w:t>
            </w:r>
          </w:p>
        </w:tc>
        <w:tc>
          <w:tcPr>
            <w:tcW w:w="0" w:type="auto"/>
            <w:vAlign w:val="center"/>
            <w:hideMark/>
          </w:tcPr>
          <w:p w14:paraId="22182BC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45 min</w:t>
            </w:r>
          </w:p>
        </w:tc>
        <w:tc>
          <w:tcPr>
            <w:tcW w:w="0" w:type="auto"/>
            <w:vAlign w:val="center"/>
            <w:hideMark/>
          </w:tcPr>
          <w:p w14:paraId="1453BB1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users</w:t>
            </w:r>
          </w:p>
        </w:tc>
        <w:tc>
          <w:tcPr>
            <w:tcW w:w="0" w:type="auto"/>
            <w:vAlign w:val="center"/>
            <w:hideMark/>
          </w:tcPr>
          <w:p w14:paraId="6B3E6196"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Lead + Visionflex</w:t>
            </w:r>
          </w:p>
        </w:tc>
        <w:tc>
          <w:tcPr>
            <w:tcW w:w="0" w:type="auto"/>
            <w:vAlign w:val="center"/>
            <w:hideMark/>
          </w:tcPr>
          <w:p w14:paraId="5332A2B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Consent, identity, appropriateness, escalation rehearsed </w:t>
            </w:r>
          </w:p>
        </w:tc>
      </w:tr>
      <w:tr w:rsidR="007210F2" w:rsidRPr="00730379" w14:paraId="1C44D0FA" w14:textId="77777777">
        <w:trPr>
          <w:tblCellSpacing w:w="15" w:type="dxa"/>
        </w:trPr>
        <w:tc>
          <w:tcPr>
            <w:tcW w:w="0" w:type="auto"/>
            <w:vAlign w:val="center"/>
            <w:hideMark/>
          </w:tcPr>
          <w:p w14:paraId="0512401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Week 2</w:t>
            </w:r>
          </w:p>
        </w:tc>
        <w:tc>
          <w:tcPr>
            <w:tcW w:w="0" w:type="auto"/>
            <w:vAlign w:val="center"/>
            <w:hideMark/>
          </w:tcPr>
          <w:p w14:paraId="2832933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Coordinator workflow session</w:t>
            </w:r>
          </w:p>
        </w:tc>
        <w:tc>
          <w:tcPr>
            <w:tcW w:w="0" w:type="auto"/>
            <w:vAlign w:val="center"/>
            <w:hideMark/>
          </w:tcPr>
          <w:p w14:paraId="3745A5E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30 min</w:t>
            </w:r>
          </w:p>
        </w:tc>
        <w:tc>
          <w:tcPr>
            <w:tcW w:w="0" w:type="auto"/>
            <w:vAlign w:val="center"/>
            <w:hideMark/>
          </w:tcPr>
          <w:p w14:paraId="05FA665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Admin/coordinators</w:t>
            </w:r>
          </w:p>
        </w:tc>
        <w:tc>
          <w:tcPr>
            <w:tcW w:w="0" w:type="auto"/>
            <w:vAlign w:val="center"/>
            <w:hideMark/>
          </w:tcPr>
          <w:p w14:paraId="7235B049"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10B8CAB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Booking, prep, room privacy, follow-up</w:t>
            </w:r>
          </w:p>
        </w:tc>
      </w:tr>
      <w:tr w:rsidR="007210F2" w:rsidRPr="00730379" w14:paraId="479CF522" w14:textId="77777777">
        <w:trPr>
          <w:tblCellSpacing w:w="15" w:type="dxa"/>
        </w:trPr>
        <w:tc>
          <w:tcPr>
            <w:tcW w:w="0" w:type="auto"/>
            <w:vAlign w:val="center"/>
            <w:hideMark/>
          </w:tcPr>
          <w:p w14:paraId="1711D72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Week 2</w:t>
            </w:r>
          </w:p>
        </w:tc>
        <w:tc>
          <w:tcPr>
            <w:tcW w:w="0" w:type="auto"/>
            <w:vAlign w:val="center"/>
            <w:hideMark/>
          </w:tcPr>
          <w:p w14:paraId="2277757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Simulation lab</w:t>
            </w:r>
          </w:p>
        </w:tc>
        <w:tc>
          <w:tcPr>
            <w:tcW w:w="0" w:type="auto"/>
            <w:vAlign w:val="center"/>
            <w:hideMark/>
          </w:tcPr>
          <w:p w14:paraId="5BE32E7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60 min</w:t>
            </w:r>
          </w:p>
        </w:tc>
        <w:tc>
          <w:tcPr>
            <w:tcW w:w="0" w:type="auto"/>
            <w:vAlign w:val="center"/>
            <w:hideMark/>
          </w:tcPr>
          <w:p w14:paraId="3579DD2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Mixed team</w:t>
            </w:r>
          </w:p>
        </w:tc>
        <w:tc>
          <w:tcPr>
            <w:tcW w:w="0" w:type="auto"/>
            <w:vAlign w:val="center"/>
            <w:hideMark/>
          </w:tcPr>
          <w:p w14:paraId="1F25DFC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Clinical Lead</w:t>
            </w:r>
          </w:p>
        </w:tc>
        <w:tc>
          <w:tcPr>
            <w:tcW w:w="0" w:type="auto"/>
            <w:vAlign w:val="center"/>
            <w:hideMark/>
          </w:tcPr>
          <w:p w14:paraId="0B07DC59"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Run UC1–UC3 end-to-end including failover </w:t>
            </w:r>
          </w:p>
        </w:tc>
      </w:tr>
      <w:tr w:rsidR="007210F2" w:rsidRPr="00730379" w14:paraId="33D6A24C" w14:textId="77777777">
        <w:trPr>
          <w:tblCellSpacing w:w="15" w:type="dxa"/>
        </w:trPr>
        <w:tc>
          <w:tcPr>
            <w:tcW w:w="0" w:type="auto"/>
            <w:vAlign w:val="center"/>
            <w:hideMark/>
          </w:tcPr>
          <w:p w14:paraId="6B74F90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Go-live week</w:t>
            </w:r>
          </w:p>
        </w:tc>
        <w:tc>
          <w:tcPr>
            <w:tcW w:w="0" w:type="auto"/>
            <w:vAlign w:val="center"/>
            <w:hideMark/>
          </w:tcPr>
          <w:p w14:paraId="0182A664"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Quick refresh + </w:t>
            </w:r>
            <w:proofErr w:type="spellStart"/>
            <w:r w:rsidRPr="00730379">
              <w:rPr>
                <w:rFonts w:ascii="Aptos" w:hAnsi="Aptos"/>
                <w:color w:val="013844"/>
                <w:sz w:val="20"/>
                <w:szCs w:val="20"/>
              </w:rPr>
              <w:t>hypercare</w:t>
            </w:r>
            <w:proofErr w:type="spellEnd"/>
            <w:r w:rsidRPr="00730379">
              <w:rPr>
                <w:rFonts w:ascii="Aptos" w:hAnsi="Aptos"/>
                <w:color w:val="013844"/>
                <w:sz w:val="20"/>
                <w:szCs w:val="20"/>
              </w:rPr>
              <w:t xml:space="preserve"> briefing</w:t>
            </w:r>
          </w:p>
        </w:tc>
        <w:tc>
          <w:tcPr>
            <w:tcW w:w="0" w:type="auto"/>
            <w:vAlign w:val="center"/>
            <w:hideMark/>
          </w:tcPr>
          <w:p w14:paraId="0C35EED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20 min</w:t>
            </w:r>
          </w:p>
        </w:tc>
        <w:tc>
          <w:tcPr>
            <w:tcW w:w="0" w:type="auto"/>
            <w:vAlign w:val="center"/>
            <w:hideMark/>
          </w:tcPr>
          <w:p w14:paraId="0C17B361"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All</w:t>
            </w:r>
          </w:p>
        </w:tc>
        <w:tc>
          <w:tcPr>
            <w:tcW w:w="0" w:type="auto"/>
            <w:vAlign w:val="center"/>
            <w:hideMark/>
          </w:tcPr>
          <w:p w14:paraId="04493AF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Project Lead</w:t>
            </w:r>
          </w:p>
        </w:tc>
        <w:tc>
          <w:tcPr>
            <w:tcW w:w="0" w:type="auto"/>
            <w:vAlign w:val="center"/>
            <w:hideMark/>
          </w:tcPr>
          <w:p w14:paraId="0868B439"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Final reminders, support pathway</w:t>
            </w:r>
          </w:p>
        </w:tc>
      </w:tr>
      <w:tr w:rsidR="007210F2" w:rsidRPr="00730379" w14:paraId="28FFEB55" w14:textId="77777777">
        <w:trPr>
          <w:tblCellSpacing w:w="15" w:type="dxa"/>
        </w:trPr>
        <w:tc>
          <w:tcPr>
            <w:tcW w:w="0" w:type="auto"/>
            <w:vAlign w:val="center"/>
            <w:hideMark/>
          </w:tcPr>
          <w:p w14:paraId="4C1D068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Day 30</w:t>
            </w:r>
          </w:p>
        </w:tc>
        <w:tc>
          <w:tcPr>
            <w:tcW w:w="0" w:type="auto"/>
            <w:vAlign w:val="center"/>
            <w:hideMark/>
          </w:tcPr>
          <w:p w14:paraId="1091359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Refresher + optimisation</w:t>
            </w:r>
          </w:p>
        </w:tc>
        <w:tc>
          <w:tcPr>
            <w:tcW w:w="0" w:type="auto"/>
            <w:vAlign w:val="center"/>
            <w:hideMark/>
          </w:tcPr>
          <w:p w14:paraId="2DC296D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30 min</w:t>
            </w:r>
          </w:p>
        </w:tc>
        <w:tc>
          <w:tcPr>
            <w:tcW w:w="0" w:type="auto"/>
            <w:vAlign w:val="center"/>
            <w:hideMark/>
          </w:tcPr>
          <w:p w14:paraId="1D22530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Targeted</w:t>
            </w:r>
          </w:p>
        </w:tc>
        <w:tc>
          <w:tcPr>
            <w:tcW w:w="0" w:type="auto"/>
            <w:vAlign w:val="center"/>
            <w:hideMark/>
          </w:tcPr>
          <w:p w14:paraId="48D937D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Champions + Visionflex</w:t>
            </w:r>
          </w:p>
        </w:tc>
        <w:tc>
          <w:tcPr>
            <w:tcW w:w="0" w:type="auto"/>
            <w:vAlign w:val="center"/>
            <w:hideMark/>
          </w:tcPr>
          <w:p w14:paraId="503F572B"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Fix friction points, expand confidence</w:t>
            </w:r>
          </w:p>
        </w:tc>
      </w:tr>
    </w:tbl>
    <w:p w14:paraId="7CF3E621" w14:textId="23266B3C"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 xml:space="preserve">8.5 Minimum training content </w:t>
      </w:r>
    </w:p>
    <w:p w14:paraId="33D0806B"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Training content should explicitly cover regulator expectations and local safety requirements. AHPRA virtual care guidance (see References) highlights confirming identity, explaining what to expect, and obtaining informed consent, including if recording or an AI scribe is used. </w:t>
      </w:r>
    </w:p>
    <w:p w14:paraId="60DB493C"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RACGP virtual care and telehealth guidance (see References) also reinforces consent, privacy, and risk management principles that translate well beyond general practice. </w:t>
      </w:r>
    </w:p>
    <w:p w14:paraId="57955DC2"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Use these topic headings in your session plans:</w:t>
      </w:r>
    </w:p>
    <w:p w14:paraId="183AC8F3"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t>Preparing the environment for privacy and confidentiality</w:t>
      </w:r>
    </w:p>
    <w:p w14:paraId="223BD437"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t>Identity confirmation and participant introductions</w:t>
      </w:r>
    </w:p>
    <w:p w14:paraId="6C4915D3"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t>Consent script and documentation phrase</w:t>
      </w:r>
    </w:p>
    <w:p w14:paraId="4AD7234F"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t>Clinical appropriateness and when to convert to in-person or emergency pathways</w:t>
      </w:r>
    </w:p>
    <w:p w14:paraId="3A7257A7"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t>Escalation pathway and deterioration recognition</w:t>
      </w:r>
    </w:p>
    <w:p w14:paraId="4F998639"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lastRenderedPageBreak/>
        <w:t>Documentation expectations and information handling</w:t>
      </w:r>
    </w:p>
    <w:p w14:paraId="4FBF0967"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t>Technology basics, peripherals as applicable, and failover steps</w:t>
      </w:r>
    </w:p>
    <w:p w14:paraId="6ED8A64E" w14:textId="77777777" w:rsidR="007210F2" w:rsidRPr="00730379" w:rsidRDefault="007210F2" w:rsidP="007210F2">
      <w:pPr>
        <w:numPr>
          <w:ilvl w:val="0"/>
          <w:numId w:val="25"/>
        </w:numPr>
        <w:rPr>
          <w:rFonts w:ascii="Aptos" w:hAnsi="Aptos"/>
          <w:color w:val="013844"/>
          <w:sz w:val="22"/>
          <w:szCs w:val="22"/>
        </w:rPr>
      </w:pPr>
      <w:r w:rsidRPr="00730379">
        <w:rPr>
          <w:rFonts w:ascii="Aptos" w:hAnsi="Aptos"/>
          <w:color w:val="013844"/>
          <w:sz w:val="22"/>
          <w:szCs w:val="22"/>
        </w:rPr>
        <w:t xml:space="preserve">Secure use of conferencing and accounts (local policy aligned to ADHA guidance) </w:t>
      </w:r>
    </w:p>
    <w:p w14:paraId="08710223"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8.6 Competency checklist (lightweight, role-based)</w:t>
      </w:r>
    </w:p>
    <w:p w14:paraId="726BBFAB"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Competency is pass or needs follow-up coaching. Keep it practical, observed, and tied to UC1–UC3.</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27"/>
        <w:gridCol w:w="1123"/>
        <w:gridCol w:w="1258"/>
        <w:gridCol w:w="1110"/>
        <w:gridCol w:w="1963"/>
      </w:tblGrid>
      <w:tr w:rsidR="007210F2" w:rsidRPr="00730379" w14:paraId="64087FED" w14:textId="77777777">
        <w:trPr>
          <w:tblHeader/>
          <w:tblCellSpacing w:w="15" w:type="dxa"/>
        </w:trPr>
        <w:tc>
          <w:tcPr>
            <w:tcW w:w="0" w:type="auto"/>
            <w:vAlign w:val="center"/>
            <w:hideMark/>
          </w:tcPr>
          <w:p w14:paraId="2AA503D9"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Competency item</w:t>
            </w:r>
          </w:p>
        </w:tc>
        <w:tc>
          <w:tcPr>
            <w:tcW w:w="0" w:type="auto"/>
            <w:vAlign w:val="center"/>
            <w:hideMark/>
          </w:tcPr>
          <w:p w14:paraId="17917812"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Clinical users</w:t>
            </w:r>
          </w:p>
        </w:tc>
        <w:tc>
          <w:tcPr>
            <w:tcW w:w="0" w:type="auto"/>
            <w:vAlign w:val="center"/>
            <w:hideMark/>
          </w:tcPr>
          <w:p w14:paraId="42B81505"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Coordinators</w:t>
            </w:r>
          </w:p>
        </w:tc>
        <w:tc>
          <w:tcPr>
            <w:tcW w:w="0" w:type="auto"/>
            <w:vAlign w:val="center"/>
            <w:hideMark/>
          </w:tcPr>
          <w:p w14:paraId="2B0B296C"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Champions</w:t>
            </w:r>
          </w:p>
        </w:tc>
        <w:tc>
          <w:tcPr>
            <w:tcW w:w="0" w:type="auto"/>
            <w:vAlign w:val="center"/>
            <w:hideMark/>
          </w:tcPr>
          <w:p w14:paraId="6640EE72"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Evidence method</w:t>
            </w:r>
          </w:p>
        </w:tc>
      </w:tr>
      <w:tr w:rsidR="007210F2" w:rsidRPr="00730379" w14:paraId="528CD273" w14:textId="77777777">
        <w:trPr>
          <w:tblCellSpacing w:w="15" w:type="dxa"/>
        </w:trPr>
        <w:tc>
          <w:tcPr>
            <w:tcW w:w="0" w:type="auto"/>
            <w:vAlign w:val="center"/>
            <w:hideMark/>
          </w:tcPr>
          <w:p w14:paraId="3520923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Prepares environment for privacy (room, signage, audio leakage)</w:t>
            </w:r>
          </w:p>
        </w:tc>
        <w:tc>
          <w:tcPr>
            <w:tcW w:w="0" w:type="auto"/>
            <w:vAlign w:val="center"/>
            <w:hideMark/>
          </w:tcPr>
          <w:p w14:paraId="3D974AF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7024860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4379F2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24E078F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Observed setup </w:t>
            </w:r>
          </w:p>
        </w:tc>
      </w:tr>
      <w:tr w:rsidR="007210F2" w:rsidRPr="00730379" w14:paraId="6C8E133F" w14:textId="77777777">
        <w:trPr>
          <w:tblCellSpacing w:w="15" w:type="dxa"/>
        </w:trPr>
        <w:tc>
          <w:tcPr>
            <w:tcW w:w="0" w:type="auto"/>
            <w:vAlign w:val="center"/>
            <w:hideMark/>
          </w:tcPr>
          <w:p w14:paraId="7F726D4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Confirms patient identity and who is present</w:t>
            </w:r>
          </w:p>
        </w:tc>
        <w:tc>
          <w:tcPr>
            <w:tcW w:w="0" w:type="auto"/>
            <w:vAlign w:val="center"/>
            <w:hideMark/>
          </w:tcPr>
          <w:p w14:paraId="63D62A8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2A2A8E0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Support</w:t>
            </w:r>
          </w:p>
        </w:tc>
        <w:tc>
          <w:tcPr>
            <w:tcW w:w="0" w:type="auto"/>
            <w:vAlign w:val="center"/>
            <w:hideMark/>
          </w:tcPr>
          <w:p w14:paraId="3D978E9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7A460DD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Observed start-of-call </w:t>
            </w:r>
          </w:p>
        </w:tc>
      </w:tr>
      <w:tr w:rsidR="007210F2" w:rsidRPr="00730379" w14:paraId="3E23A64D" w14:textId="77777777">
        <w:trPr>
          <w:tblCellSpacing w:w="15" w:type="dxa"/>
        </w:trPr>
        <w:tc>
          <w:tcPr>
            <w:tcW w:w="0" w:type="auto"/>
            <w:vAlign w:val="center"/>
            <w:hideMark/>
          </w:tcPr>
          <w:p w14:paraId="21855AC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Uses consent script and records consent appropriately</w:t>
            </w:r>
          </w:p>
        </w:tc>
        <w:tc>
          <w:tcPr>
            <w:tcW w:w="0" w:type="auto"/>
            <w:vAlign w:val="center"/>
            <w:hideMark/>
          </w:tcPr>
          <w:p w14:paraId="13F8B77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7A275D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Support</w:t>
            </w:r>
          </w:p>
        </w:tc>
        <w:tc>
          <w:tcPr>
            <w:tcW w:w="0" w:type="auto"/>
            <w:vAlign w:val="center"/>
            <w:hideMark/>
          </w:tcPr>
          <w:p w14:paraId="3E909D3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CED13F6"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Note review + observation </w:t>
            </w:r>
          </w:p>
        </w:tc>
      </w:tr>
      <w:tr w:rsidR="007210F2" w:rsidRPr="00730379" w14:paraId="0B6EEC4F" w14:textId="77777777">
        <w:trPr>
          <w:tblCellSpacing w:w="15" w:type="dxa"/>
        </w:trPr>
        <w:tc>
          <w:tcPr>
            <w:tcW w:w="0" w:type="auto"/>
            <w:vAlign w:val="center"/>
            <w:hideMark/>
          </w:tcPr>
          <w:p w14:paraId="78AF9AF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Applies appropriateness rules (knows when not to use virtual care)</w:t>
            </w:r>
          </w:p>
        </w:tc>
        <w:tc>
          <w:tcPr>
            <w:tcW w:w="0" w:type="auto"/>
            <w:vAlign w:val="center"/>
            <w:hideMark/>
          </w:tcPr>
          <w:p w14:paraId="03D891A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2659909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No</w:t>
            </w:r>
          </w:p>
        </w:tc>
        <w:tc>
          <w:tcPr>
            <w:tcW w:w="0" w:type="auto"/>
            <w:vAlign w:val="center"/>
            <w:hideMark/>
          </w:tcPr>
          <w:p w14:paraId="550D86B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02F4FBDD"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Scenario questions </w:t>
            </w:r>
          </w:p>
        </w:tc>
      </w:tr>
      <w:tr w:rsidR="007210F2" w:rsidRPr="00730379" w14:paraId="23482E69" w14:textId="77777777">
        <w:trPr>
          <w:tblCellSpacing w:w="15" w:type="dxa"/>
        </w:trPr>
        <w:tc>
          <w:tcPr>
            <w:tcW w:w="0" w:type="auto"/>
            <w:vAlign w:val="center"/>
            <w:hideMark/>
          </w:tcPr>
          <w:p w14:paraId="396C4DD2"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Runs UC1 end-to-end including documentation</w:t>
            </w:r>
          </w:p>
        </w:tc>
        <w:tc>
          <w:tcPr>
            <w:tcW w:w="0" w:type="auto"/>
            <w:vAlign w:val="center"/>
            <w:hideMark/>
          </w:tcPr>
          <w:p w14:paraId="0AF247D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0BBA2C5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Support</w:t>
            </w:r>
          </w:p>
        </w:tc>
        <w:tc>
          <w:tcPr>
            <w:tcW w:w="0" w:type="auto"/>
            <w:vAlign w:val="center"/>
            <w:hideMark/>
          </w:tcPr>
          <w:p w14:paraId="0043D269"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4EBC09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Simulation</w:t>
            </w:r>
          </w:p>
        </w:tc>
      </w:tr>
      <w:tr w:rsidR="007210F2" w:rsidRPr="00730379" w14:paraId="17727856" w14:textId="77777777">
        <w:trPr>
          <w:tblCellSpacing w:w="15" w:type="dxa"/>
        </w:trPr>
        <w:tc>
          <w:tcPr>
            <w:tcW w:w="0" w:type="auto"/>
            <w:vAlign w:val="center"/>
            <w:hideMark/>
          </w:tcPr>
          <w:p w14:paraId="232933EF"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Runs UC2 end-to-end including escalation trigger</w:t>
            </w:r>
          </w:p>
        </w:tc>
        <w:tc>
          <w:tcPr>
            <w:tcW w:w="0" w:type="auto"/>
            <w:vAlign w:val="center"/>
            <w:hideMark/>
          </w:tcPr>
          <w:p w14:paraId="7EBA1DBB"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5137AD5"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No</w:t>
            </w:r>
          </w:p>
        </w:tc>
        <w:tc>
          <w:tcPr>
            <w:tcW w:w="0" w:type="auto"/>
            <w:vAlign w:val="center"/>
            <w:hideMark/>
          </w:tcPr>
          <w:p w14:paraId="175C0670"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06FADFC"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Simulation </w:t>
            </w:r>
          </w:p>
        </w:tc>
      </w:tr>
      <w:tr w:rsidR="007210F2" w:rsidRPr="00730379" w14:paraId="5BBB8BEE" w14:textId="77777777">
        <w:trPr>
          <w:tblCellSpacing w:w="15" w:type="dxa"/>
        </w:trPr>
        <w:tc>
          <w:tcPr>
            <w:tcW w:w="0" w:type="auto"/>
            <w:vAlign w:val="center"/>
            <w:hideMark/>
          </w:tcPr>
          <w:p w14:paraId="1D7F424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Performs failover step correctly (video fails)</w:t>
            </w:r>
          </w:p>
        </w:tc>
        <w:tc>
          <w:tcPr>
            <w:tcW w:w="0" w:type="auto"/>
            <w:vAlign w:val="center"/>
            <w:hideMark/>
          </w:tcPr>
          <w:p w14:paraId="361E58C3"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54008C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449EAA1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15F10E3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 xml:space="preserve">Simulated </w:t>
            </w:r>
            <w:proofErr w:type="gramStart"/>
            <w:r w:rsidRPr="00730379">
              <w:rPr>
                <w:rFonts w:ascii="Aptos" w:hAnsi="Aptos"/>
                <w:color w:val="013844"/>
                <w:sz w:val="20"/>
                <w:szCs w:val="20"/>
              </w:rPr>
              <w:t>bandwidth</w:t>
            </w:r>
            <w:proofErr w:type="gramEnd"/>
            <w:r w:rsidRPr="00730379">
              <w:rPr>
                <w:rFonts w:ascii="Aptos" w:hAnsi="Aptos"/>
                <w:color w:val="013844"/>
                <w:sz w:val="20"/>
                <w:szCs w:val="20"/>
              </w:rPr>
              <w:t xml:space="preserve"> drop </w:t>
            </w:r>
          </w:p>
        </w:tc>
      </w:tr>
      <w:tr w:rsidR="007210F2" w:rsidRPr="00730379" w14:paraId="3A3DE3C1" w14:textId="77777777">
        <w:trPr>
          <w:tblCellSpacing w:w="15" w:type="dxa"/>
        </w:trPr>
        <w:tc>
          <w:tcPr>
            <w:tcW w:w="0" w:type="auto"/>
            <w:vAlign w:val="center"/>
            <w:hideMark/>
          </w:tcPr>
          <w:p w14:paraId="44F40087"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Knows support pathway and escalation contacts</w:t>
            </w:r>
          </w:p>
        </w:tc>
        <w:tc>
          <w:tcPr>
            <w:tcW w:w="0" w:type="auto"/>
            <w:vAlign w:val="center"/>
            <w:hideMark/>
          </w:tcPr>
          <w:p w14:paraId="5FC5176E"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2720AF61"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2BF4DC9A"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Yes</w:t>
            </w:r>
          </w:p>
        </w:tc>
        <w:tc>
          <w:tcPr>
            <w:tcW w:w="0" w:type="auto"/>
            <w:vAlign w:val="center"/>
            <w:hideMark/>
          </w:tcPr>
          <w:p w14:paraId="6BBFDAE8" w14:textId="77777777" w:rsidR="007210F2" w:rsidRPr="00730379" w:rsidRDefault="007210F2" w:rsidP="007210F2">
            <w:pPr>
              <w:rPr>
                <w:rFonts w:ascii="Aptos" w:hAnsi="Aptos"/>
                <w:color w:val="013844"/>
                <w:sz w:val="20"/>
                <w:szCs w:val="20"/>
              </w:rPr>
            </w:pPr>
            <w:r w:rsidRPr="00730379">
              <w:rPr>
                <w:rFonts w:ascii="Aptos" w:hAnsi="Aptos"/>
                <w:color w:val="013844"/>
                <w:sz w:val="20"/>
                <w:szCs w:val="20"/>
              </w:rPr>
              <w:t>Verbal confirmation</w:t>
            </w:r>
          </w:p>
        </w:tc>
      </w:tr>
    </w:tbl>
    <w:p w14:paraId="7357251F"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8.7 Training records and quality improvement</w:t>
      </w:r>
    </w:p>
    <w:p w14:paraId="7138176F"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 xml:space="preserve">Maintain a simple register: attendance, competency status, and follow-up actions. This supports clinical governance and reduces risk during staff turnover. NSW virtual care resources emphasise building workforce capability and supporting clinicians with training and education.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20"/>
        <w:gridCol w:w="472"/>
        <w:gridCol w:w="2288"/>
        <w:gridCol w:w="1578"/>
        <w:gridCol w:w="1775"/>
        <w:gridCol w:w="507"/>
      </w:tblGrid>
      <w:tr w:rsidR="007210F2" w:rsidRPr="00730379" w14:paraId="552AC913" w14:textId="77777777">
        <w:trPr>
          <w:tblHeader/>
          <w:tblCellSpacing w:w="15" w:type="dxa"/>
        </w:trPr>
        <w:tc>
          <w:tcPr>
            <w:tcW w:w="0" w:type="auto"/>
            <w:vAlign w:val="center"/>
            <w:hideMark/>
          </w:tcPr>
          <w:p w14:paraId="0FE80339"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Staff member</w:t>
            </w:r>
          </w:p>
        </w:tc>
        <w:tc>
          <w:tcPr>
            <w:tcW w:w="0" w:type="auto"/>
            <w:vAlign w:val="center"/>
            <w:hideMark/>
          </w:tcPr>
          <w:p w14:paraId="52D06BF6"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Role</w:t>
            </w:r>
          </w:p>
        </w:tc>
        <w:tc>
          <w:tcPr>
            <w:tcW w:w="0" w:type="auto"/>
            <w:vAlign w:val="center"/>
            <w:hideMark/>
          </w:tcPr>
          <w:p w14:paraId="20CA966F"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Training completed (Y/N)</w:t>
            </w:r>
          </w:p>
        </w:tc>
        <w:tc>
          <w:tcPr>
            <w:tcW w:w="0" w:type="auto"/>
            <w:vAlign w:val="center"/>
            <w:hideMark/>
          </w:tcPr>
          <w:p w14:paraId="16F9E08A"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Competent (Y/N)</w:t>
            </w:r>
          </w:p>
        </w:tc>
        <w:tc>
          <w:tcPr>
            <w:tcW w:w="0" w:type="auto"/>
            <w:vAlign w:val="center"/>
            <w:hideMark/>
          </w:tcPr>
          <w:p w14:paraId="0B27DB2A"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Follow-up required</w:t>
            </w:r>
          </w:p>
        </w:tc>
        <w:tc>
          <w:tcPr>
            <w:tcW w:w="0" w:type="auto"/>
            <w:vAlign w:val="center"/>
            <w:hideMark/>
          </w:tcPr>
          <w:p w14:paraId="130F833F" w14:textId="77777777" w:rsidR="007210F2" w:rsidRPr="00730379" w:rsidRDefault="007210F2" w:rsidP="007210F2">
            <w:pPr>
              <w:rPr>
                <w:rFonts w:ascii="Aptos" w:hAnsi="Aptos"/>
                <w:b/>
                <w:bCs/>
                <w:color w:val="013844"/>
                <w:sz w:val="20"/>
                <w:szCs w:val="20"/>
              </w:rPr>
            </w:pPr>
            <w:r w:rsidRPr="00730379">
              <w:rPr>
                <w:rFonts w:ascii="Aptos" w:hAnsi="Aptos"/>
                <w:b/>
                <w:bCs/>
                <w:color w:val="013844"/>
                <w:sz w:val="20"/>
                <w:szCs w:val="20"/>
              </w:rPr>
              <w:t>Date</w:t>
            </w:r>
          </w:p>
        </w:tc>
      </w:tr>
      <w:tr w:rsidR="003F3B19" w:rsidRPr="00730379" w14:paraId="6F633780" w14:textId="77777777">
        <w:trPr>
          <w:tblHeader/>
          <w:tblCellSpacing w:w="15" w:type="dxa"/>
        </w:trPr>
        <w:tc>
          <w:tcPr>
            <w:tcW w:w="0" w:type="auto"/>
            <w:vAlign w:val="center"/>
          </w:tcPr>
          <w:p w14:paraId="2BF29EF8" w14:textId="77777777" w:rsidR="003F3B19" w:rsidRPr="00730379" w:rsidRDefault="003F3B19" w:rsidP="007210F2">
            <w:pPr>
              <w:rPr>
                <w:rFonts w:ascii="Aptos" w:hAnsi="Aptos"/>
                <w:b/>
                <w:bCs/>
                <w:color w:val="013844"/>
                <w:sz w:val="20"/>
                <w:szCs w:val="20"/>
              </w:rPr>
            </w:pPr>
          </w:p>
        </w:tc>
        <w:tc>
          <w:tcPr>
            <w:tcW w:w="0" w:type="auto"/>
            <w:vAlign w:val="center"/>
          </w:tcPr>
          <w:p w14:paraId="15C958ED" w14:textId="77777777" w:rsidR="003F3B19" w:rsidRPr="00730379" w:rsidRDefault="003F3B19" w:rsidP="007210F2">
            <w:pPr>
              <w:rPr>
                <w:rFonts w:ascii="Aptos" w:hAnsi="Aptos"/>
                <w:b/>
                <w:bCs/>
                <w:color w:val="013844"/>
                <w:sz w:val="20"/>
                <w:szCs w:val="20"/>
              </w:rPr>
            </w:pPr>
          </w:p>
        </w:tc>
        <w:tc>
          <w:tcPr>
            <w:tcW w:w="0" w:type="auto"/>
            <w:vAlign w:val="center"/>
          </w:tcPr>
          <w:p w14:paraId="686544DA" w14:textId="77777777" w:rsidR="003F3B19" w:rsidRPr="00730379" w:rsidRDefault="003F3B19" w:rsidP="007210F2">
            <w:pPr>
              <w:rPr>
                <w:rFonts w:ascii="Aptos" w:hAnsi="Aptos"/>
                <w:b/>
                <w:bCs/>
                <w:color w:val="013844"/>
                <w:sz w:val="20"/>
                <w:szCs w:val="20"/>
              </w:rPr>
            </w:pPr>
          </w:p>
        </w:tc>
        <w:tc>
          <w:tcPr>
            <w:tcW w:w="0" w:type="auto"/>
            <w:vAlign w:val="center"/>
          </w:tcPr>
          <w:p w14:paraId="100F4759" w14:textId="77777777" w:rsidR="003F3B19" w:rsidRPr="00730379" w:rsidRDefault="003F3B19" w:rsidP="007210F2">
            <w:pPr>
              <w:rPr>
                <w:rFonts w:ascii="Aptos" w:hAnsi="Aptos"/>
                <w:b/>
                <w:bCs/>
                <w:color w:val="013844"/>
                <w:sz w:val="20"/>
                <w:szCs w:val="20"/>
              </w:rPr>
            </w:pPr>
          </w:p>
        </w:tc>
        <w:tc>
          <w:tcPr>
            <w:tcW w:w="0" w:type="auto"/>
            <w:vAlign w:val="center"/>
          </w:tcPr>
          <w:p w14:paraId="3530E73E" w14:textId="77777777" w:rsidR="003F3B19" w:rsidRPr="00730379" w:rsidRDefault="003F3B19" w:rsidP="007210F2">
            <w:pPr>
              <w:rPr>
                <w:rFonts w:ascii="Aptos" w:hAnsi="Aptos"/>
                <w:b/>
                <w:bCs/>
                <w:color w:val="013844"/>
                <w:sz w:val="20"/>
                <w:szCs w:val="20"/>
              </w:rPr>
            </w:pPr>
          </w:p>
        </w:tc>
        <w:tc>
          <w:tcPr>
            <w:tcW w:w="0" w:type="auto"/>
            <w:vAlign w:val="center"/>
          </w:tcPr>
          <w:p w14:paraId="3023FB0F" w14:textId="77777777" w:rsidR="003F3B19" w:rsidRPr="00730379" w:rsidRDefault="003F3B19" w:rsidP="007210F2">
            <w:pPr>
              <w:rPr>
                <w:rFonts w:ascii="Aptos" w:hAnsi="Aptos"/>
                <w:b/>
                <w:bCs/>
                <w:color w:val="013844"/>
                <w:sz w:val="20"/>
                <w:szCs w:val="20"/>
              </w:rPr>
            </w:pPr>
          </w:p>
        </w:tc>
      </w:tr>
    </w:tbl>
    <w:p w14:paraId="6570B8CA" w14:textId="77777777" w:rsidR="007210F2" w:rsidRPr="00730379" w:rsidRDefault="007210F2" w:rsidP="007210F2">
      <w:pPr>
        <w:pStyle w:val="Heading3"/>
        <w:rPr>
          <w:rFonts w:ascii="Aptos" w:hAnsi="Aptos"/>
          <w:color w:val="013844"/>
          <w:sz w:val="24"/>
          <w:szCs w:val="24"/>
        </w:rPr>
      </w:pPr>
      <w:r w:rsidRPr="00730379">
        <w:rPr>
          <w:rFonts w:ascii="Aptos" w:hAnsi="Aptos"/>
          <w:color w:val="013844"/>
          <w:sz w:val="24"/>
          <w:szCs w:val="24"/>
        </w:rPr>
        <w:t>8.8 Sign-off checkpoint</w:t>
      </w:r>
    </w:p>
    <w:p w14:paraId="306E03E3" w14:textId="77777777" w:rsidR="007210F2" w:rsidRPr="00730379" w:rsidRDefault="007210F2" w:rsidP="007210F2">
      <w:pPr>
        <w:rPr>
          <w:rFonts w:ascii="Aptos" w:hAnsi="Aptos"/>
          <w:color w:val="013844"/>
          <w:sz w:val="22"/>
          <w:szCs w:val="22"/>
        </w:rPr>
      </w:pPr>
      <w:r w:rsidRPr="00730379">
        <w:rPr>
          <w:rFonts w:ascii="Aptos" w:hAnsi="Aptos"/>
          <w:color w:val="013844"/>
          <w:sz w:val="22"/>
          <w:szCs w:val="22"/>
        </w:rPr>
        <w:t>The site proceeds to go-live only when:</w:t>
      </w:r>
    </w:p>
    <w:p w14:paraId="0797E187" w14:textId="77777777" w:rsidR="007210F2" w:rsidRPr="00730379" w:rsidRDefault="007210F2" w:rsidP="007210F2">
      <w:pPr>
        <w:numPr>
          <w:ilvl w:val="0"/>
          <w:numId w:val="26"/>
        </w:numPr>
        <w:rPr>
          <w:rFonts w:ascii="Aptos" w:hAnsi="Aptos"/>
          <w:color w:val="013844"/>
          <w:sz w:val="22"/>
          <w:szCs w:val="22"/>
        </w:rPr>
      </w:pPr>
      <w:r w:rsidRPr="00730379">
        <w:rPr>
          <w:rFonts w:ascii="Aptos" w:hAnsi="Aptos"/>
          <w:color w:val="013844"/>
          <w:sz w:val="22"/>
          <w:szCs w:val="22"/>
        </w:rPr>
        <w:lastRenderedPageBreak/>
        <w:t>Champions are trained and available in the first two weeks post go-live</w:t>
      </w:r>
    </w:p>
    <w:p w14:paraId="68B3A526" w14:textId="77777777" w:rsidR="007210F2" w:rsidRPr="00730379" w:rsidRDefault="007210F2" w:rsidP="007210F2">
      <w:pPr>
        <w:numPr>
          <w:ilvl w:val="0"/>
          <w:numId w:val="26"/>
        </w:numPr>
        <w:rPr>
          <w:rFonts w:ascii="Aptos" w:hAnsi="Aptos"/>
          <w:color w:val="013844"/>
          <w:sz w:val="22"/>
          <w:szCs w:val="22"/>
        </w:rPr>
      </w:pPr>
      <w:r w:rsidRPr="00730379">
        <w:rPr>
          <w:rFonts w:ascii="Aptos" w:hAnsi="Aptos"/>
          <w:color w:val="013844"/>
          <w:sz w:val="22"/>
          <w:szCs w:val="22"/>
        </w:rPr>
        <w:t>All staff scheduled for Phase 1 delivery have completed training and competency checks</w:t>
      </w:r>
    </w:p>
    <w:p w14:paraId="4ED389FB" w14:textId="77777777" w:rsidR="007210F2" w:rsidRPr="00730379" w:rsidRDefault="007210F2" w:rsidP="007210F2">
      <w:pPr>
        <w:numPr>
          <w:ilvl w:val="0"/>
          <w:numId w:val="26"/>
        </w:numPr>
        <w:rPr>
          <w:rFonts w:ascii="Aptos" w:hAnsi="Aptos"/>
          <w:color w:val="013844"/>
          <w:sz w:val="22"/>
          <w:szCs w:val="22"/>
        </w:rPr>
      </w:pPr>
      <w:r w:rsidRPr="00730379">
        <w:rPr>
          <w:rFonts w:ascii="Aptos" w:hAnsi="Aptos"/>
          <w:color w:val="013844"/>
          <w:sz w:val="22"/>
          <w:szCs w:val="22"/>
        </w:rPr>
        <w:t>Clinical Lead confirms the team can run UC1–UC3 safely, including escalation and failover</w:t>
      </w:r>
      <w:r w:rsidRPr="00730379">
        <w:rPr>
          <w:rFonts w:ascii="Aptos" w:hAnsi="Aptos"/>
          <w:color w:val="013844"/>
          <w:sz w:val="22"/>
          <w:szCs w:val="22"/>
        </w:rPr>
        <w:br/>
        <w:t xml:space="preserve">This is consistent with regulator and guideline expectations that virtual care delivery must meet the same standards as in-person care and must be appropriately supported. </w:t>
      </w:r>
    </w:p>
    <w:p w14:paraId="24614098" w14:textId="77777777" w:rsidR="007210F2" w:rsidRPr="00730379" w:rsidRDefault="007210F2" w:rsidP="007210F2">
      <w:pPr>
        <w:rPr>
          <w:rFonts w:ascii="Aptos" w:hAnsi="Aptos"/>
          <w:color w:val="013844"/>
          <w:sz w:val="22"/>
          <w:szCs w:val="22"/>
        </w:rPr>
      </w:pPr>
      <w:r w:rsidRPr="00730379">
        <w:rPr>
          <w:rFonts w:ascii="Aptos" w:hAnsi="Aptos"/>
          <w:b/>
          <w:bCs/>
          <w:color w:val="013844"/>
          <w:sz w:val="22"/>
          <w:szCs w:val="22"/>
        </w:rPr>
        <w:t>Sign-off record</w:t>
      </w:r>
      <w:r w:rsidRPr="00730379">
        <w:rPr>
          <w:rFonts w:ascii="Aptos" w:hAnsi="Aptos"/>
          <w:color w:val="013844"/>
          <w:sz w:val="22"/>
          <w:szCs w:val="22"/>
        </w:rPr>
        <w:br/>
        <w:t xml:space="preserve">Clinical Lead: ________________________________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Project Lead: ________________________________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Visionflex Implementation Lead: 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3AFB39F3" w14:textId="77777777" w:rsidR="003F3B19" w:rsidRPr="00730379" w:rsidRDefault="003F3B19" w:rsidP="003F3B19">
      <w:pPr>
        <w:rPr>
          <w:rFonts w:ascii="Aptos" w:hAnsi="Aptos"/>
          <w:b/>
          <w:bCs/>
          <w:color w:val="013844"/>
          <w:sz w:val="22"/>
          <w:szCs w:val="22"/>
        </w:rPr>
      </w:pPr>
    </w:p>
    <w:p w14:paraId="2D5E59C7" w14:textId="0EBC235B" w:rsidR="003F3B19" w:rsidRPr="00BA74CE" w:rsidRDefault="00BA74CE" w:rsidP="003F3B19">
      <w:pPr>
        <w:pStyle w:val="Heading2"/>
        <w:rPr>
          <w:rFonts w:ascii="Aptos" w:hAnsi="Aptos"/>
          <w:b/>
          <w:bCs/>
          <w:color w:val="013844"/>
        </w:rPr>
      </w:pPr>
      <w:bookmarkStart w:id="8" w:name="_Toc219805102"/>
      <w:r w:rsidRPr="00BA74CE">
        <w:rPr>
          <w:rFonts w:ascii="Aptos" w:hAnsi="Aptos"/>
          <w:color w:val="013844"/>
          <w:sz w:val="24"/>
          <w:szCs w:val="24"/>
        </w:rPr>
        <w:t>SECTION 9</w:t>
      </w:r>
      <w:r w:rsidRPr="00730379">
        <w:rPr>
          <w:rFonts w:ascii="Aptos" w:hAnsi="Aptos"/>
          <w:color w:val="013844"/>
          <w:sz w:val="28"/>
          <w:szCs w:val="28"/>
        </w:rPr>
        <w:t xml:space="preserve"> </w:t>
      </w:r>
      <w:r>
        <w:rPr>
          <w:rFonts w:ascii="Aptos" w:hAnsi="Aptos"/>
          <w:color w:val="013844"/>
          <w:sz w:val="28"/>
          <w:szCs w:val="28"/>
        </w:rPr>
        <w:br/>
      </w:r>
      <w:r w:rsidR="003F3B19" w:rsidRPr="00BA74CE">
        <w:rPr>
          <w:rFonts w:ascii="Aptos" w:hAnsi="Aptos"/>
          <w:b/>
          <w:bCs/>
          <w:color w:val="013844"/>
        </w:rPr>
        <w:t xml:space="preserve">Go-live and </w:t>
      </w:r>
      <w:proofErr w:type="spellStart"/>
      <w:r w:rsidR="003F3B19" w:rsidRPr="00BA74CE">
        <w:rPr>
          <w:rFonts w:ascii="Aptos" w:hAnsi="Aptos"/>
          <w:b/>
          <w:bCs/>
          <w:color w:val="013844"/>
        </w:rPr>
        <w:t>hypercare</w:t>
      </w:r>
      <w:bookmarkEnd w:id="8"/>
      <w:proofErr w:type="spellEnd"/>
    </w:p>
    <w:p w14:paraId="17A6FFA3"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9.1 Objective</w:t>
      </w:r>
    </w:p>
    <w:p w14:paraId="7CA9C99B"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Transition [Site] from “project mode” into routine delivery of the Phase 1 virtual care use cases (UC1–UC3), with a short, structured </w:t>
      </w:r>
      <w:proofErr w:type="spellStart"/>
      <w:r w:rsidRPr="00730379">
        <w:rPr>
          <w:rFonts w:ascii="Aptos" w:hAnsi="Aptos"/>
          <w:color w:val="013844"/>
          <w:sz w:val="22"/>
          <w:szCs w:val="22"/>
        </w:rPr>
        <w:t>hypercare</w:t>
      </w:r>
      <w:proofErr w:type="spellEnd"/>
      <w:r w:rsidRPr="00730379">
        <w:rPr>
          <w:rFonts w:ascii="Aptos" w:hAnsi="Aptos"/>
          <w:color w:val="013844"/>
          <w:sz w:val="22"/>
          <w:szCs w:val="22"/>
        </w:rPr>
        <w:t xml:space="preserve"> period that stabilises workflows, resolves early friction quickly, and builds staff confidence. NSW virtual care implementation guidance reinforces the need for clear go-live planning, support pathways, and ongoing review as part of implementation. </w:t>
      </w:r>
    </w:p>
    <w:p w14:paraId="18A844C2"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9.2 Go-live model</w:t>
      </w:r>
    </w:p>
    <w:p w14:paraId="0A628D4A"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For a single-site rollout, treat go-live as two linked events:</w:t>
      </w:r>
    </w:p>
    <w:p w14:paraId="01D2F5F3"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Technical go-live</w:t>
      </w:r>
      <w:r w:rsidRPr="00730379">
        <w:rPr>
          <w:rFonts w:ascii="Aptos" w:hAnsi="Aptos"/>
          <w:color w:val="013844"/>
          <w:sz w:val="22"/>
          <w:szCs w:val="22"/>
        </w:rPr>
        <w:br/>
        <w:t>The solution is installed, access is working, connectivity is validated, and test calls have passed for UC1–UC3.</w:t>
      </w:r>
    </w:p>
    <w:p w14:paraId="1532293F"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Business go-live</w:t>
      </w:r>
      <w:r w:rsidRPr="00730379">
        <w:rPr>
          <w:rFonts w:ascii="Aptos" w:hAnsi="Aptos"/>
          <w:color w:val="013844"/>
          <w:sz w:val="22"/>
          <w:szCs w:val="22"/>
        </w:rPr>
        <w:br/>
        <w:t>Staff use the agreed workflows with real patients, documentation is completed correctly, consent is captured, and escalation and failover steps are applied when required.</w:t>
      </w:r>
    </w:p>
    <w:p w14:paraId="406511AF"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This split is a useful pattern for avoiding “we’re live” before staff are </w:t>
      </w:r>
      <w:proofErr w:type="gramStart"/>
      <w:r w:rsidRPr="00730379">
        <w:rPr>
          <w:rFonts w:ascii="Aptos" w:hAnsi="Aptos"/>
          <w:color w:val="013844"/>
          <w:sz w:val="22"/>
          <w:szCs w:val="22"/>
        </w:rPr>
        <w:t>actually ready</w:t>
      </w:r>
      <w:proofErr w:type="gramEnd"/>
      <w:r w:rsidRPr="00730379">
        <w:rPr>
          <w:rFonts w:ascii="Aptos" w:hAnsi="Aptos"/>
          <w:color w:val="013844"/>
          <w:sz w:val="22"/>
          <w:szCs w:val="22"/>
        </w:rPr>
        <w:t xml:space="preserve"> to operate safely. </w:t>
      </w:r>
    </w:p>
    <w:p w14:paraId="00642F1C"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9.3 Go-live entry criteria</w:t>
      </w:r>
    </w:p>
    <w:p w14:paraId="1E6FF20E"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Go-live proceeds when Sections 4 to 8 have been signed off, and the following are true:</w:t>
      </w:r>
    </w:p>
    <w:p w14:paraId="47A5D55C" w14:textId="77777777" w:rsidR="003F3B19" w:rsidRPr="00730379" w:rsidRDefault="003F3B19" w:rsidP="003F3B19">
      <w:pPr>
        <w:numPr>
          <w:ilvl w:val="0"/>
          <w:numId w:val="27"/>
        </w:numPr>
        <w:rPr>
          <w:rFonts w:ascii="Aptos" w:hAnsi="Aptos"/>
          <w:color w:val="013844"/>
          <w:sz w:val="22"/>
          <w:szCs w:val="22"/>
        </w:rPr>
      </w:pPr>
      <w:r w:rsidRPr="00730379">
        <w:rPr>
          <w:rFonts w:ascii="Aptos" w:hAnsi="Aptos"/>
          <w:color w:val="013844"/>
          <w:sz w:val="22"/>
          <w:szCs w:val="22"/>
        </w:rPr>
        <w:t xml:space="preserve">UC1–UC3 minimum safe workflows are signed off by the Clinical Lead. </w:t>
      </w:r>
    </w:p>
    <w:p w14:paraId="3FF6FD38" w14:textId="77777777" w:rsidR="003F3B19" w:rsidRPr="00730379" w:rsidRDefault="003F3B19" w:rsidP="003F3B19">
      <w:pPr>
        <w:numPr>
          <w:ilvl w:val="0"/>
          <w:numId w:val="27"/>
        </w:numPr>
        <w:rPr>
          <w:rFonts w:ascii="Aptos" w:hAnsi="Aptos"/>
          <w:color w:val="013844"/>
          <w:sz w:val="22"/>
          <w:szCs w:val="22"/>
        </w:rPr>
      </w:pPr>
      <w:r w:rsidRPr="00730379">
        <w:rPr>
          <w:rFonts w:ascii="Aptos" w:hAnsi="Aptos"/>
          <w:color w:val="013844"/>
          <w:sz w:val="22"/>
          <w:szCs w:val="22"/>
        </w:rPr>
        <w:t xml:space="preserve">A test call has been completed and recorded, and staff know the failover approach. </w:t>
      </w:r>
    </w:p>
    <w:p w14:paraId="015D1C2C" w14:textId="77777777" w:rsidR="003F3B19" w:rsidRPr="00730379" w:rsidRDefault="003F3B19" w:rsidP="003F3B19">
      <w:pPr>
        <w:numPr>
          <w:ilvl w:val="0"/>
          <w:numId w:val="27"/>
        </w:numPr>
        <w:rPr>
          <w:rFonts w:ascii="Aptos" w:hAnsi="Aptos"/>
          <w:color w:val="013844"/>
          <w:sz w:val="22"/>
          <w:szCs w:val="22"/>
        </w:rPr>
      </w:pPr>
      <w:r w:rsidRPr="00730379">
        <w:rPr>
          <w:rFonts w:ascii="Aptos" w:hAnsi="Aptos"/>
          <w:color w:val="013844"/>
          <w:sz w:val="22"/>
          <w:szCs w:val="22"/>
        </w:rPr>
        <w:lastRenderedPageBreak/>
        <w:t xml:space="preserve">Staff scheduled to deliver Phase 1 have completed training and competency checks. </w:t>
      </w:r>
    </w:p>
    <w:p w14:paraId="6C0E7AC1" w14:textId="77777777" w:rsidR="003F3B19" w:rsidRPr="00730379" w:rsidRDefault="003F3B19" w:rsidP="003F3B19">
      <w:pPr>
        <w:numPr>
          <w:ilvl w:val="0"/>
          <w:numId w:val="27"/>
        </w:numPr>
        <w:rPr>
          <w:rFonts w:ascii="Aptos" w:hAnsi="Aptos"/>
          <w:color w:val="013844"/>
          <w:sz w:val="22"/>
          <w:szCs w:val="22"/>
        </w:rPr>
      </w:pPr>
      <w:r w:rsidRPr="00730379">
        <w:rPr>
          <w:rFonts w:ascii="Aptos" w:hAnsi="Aptos"/>
          <w:color w:val="013844"/>
          <w:sz w:val="22"/>
          <w:szCs w:val="22"/>
        </w:rPr>
        <w:t xml:space="preserve">The support pathway is published and understood (who to contact, when, and how). </w:t>
      </w:r>
    </w:p>
    <w:p w14:paraId="028835DB"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9.4 Day 1 go-live run sheet (template)</w:t>
      </w:r>
    </w:p>
    <w:p w14:paraId="3E86B540"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This is the “operational script” for the first day. Keep it simple and visible.</w:t>
      </w:r>
    </w:p>
    <w:p w14:paraId="50E435E9"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Pre-start (30 minutes before first session)</w:t>
      </w:r>
      <w:r w:rsidRPr="00730379">
        <w:rPr>
          <w:rFonts w:ascii="Aptos" w:hAnsi="Aptos"/>
          <w:color w:val="013844"/>
          <w:sz w:val="22"/>
          <w:szCs w:val="22"/>
        </w:rPr>
        <w:br/>
        <w:t xml:space="preserve">Confirm the room setup, privacy, equipment power, connectivity, logins, and that the day’s bookings reflect UC1–UC3 only (avoid introducing new use cases on day 1). AHPRA and Medical Board guidance emphasise appropriate environment and continuity steps as part of safe virtual consultations. </w:t>
      </w:r>
    </w:p>
    <w:p w14:paraId="5DF51E6F"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First consult of the day</w:t>
      </w:r>
      <w:r w:rsidRPr="00730379">
        <w:rPr>
          <w:rFonts w:ascii="Aptos" w:hAnsi="Aptos"/>
          <w:color w:val="013844"/>
          <w:sz w:val="22"/>
          <w:szCs w:val="22"/>
        </w:rPr>
        <w:br/>
        <w:t xml:space="preserve">Run with a champion present if possible. Confirm consent and participants explicitly, and ensure documentation is completed in the clinical record as per the agreed workflow. </w:t>
      </w:r>
    </w:p>
    <w:p w14:paraId="1F9D6CA8"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Between consults</w:t>
      </w:r>
      <w:r w:rsidRPr="00730379">
        <w:rPr>
          <w:rFonts w:ascii="Aptos" w:hAnsi="Aptos"/>
          <w:color w:val="013844"/>
          <w:sz w:val="22"/>
          <w:szCs w:val="22"/>
        </w:rPr>
        <w:br/>
        <w:t>Capture any friction immediately into the Issues Log (Section 9.6) and apply fixes same day where feasible.</w:t>
      </w:r>
    </w:p>
    <w:p w14:paraId="755E24D2"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End-of-day huddle (10–15 minutes)</w:t>
      </w:r>
      <w:r w:rsidRPr="00730379">
        <w:rPr>
          <w:rFonts w:ascii="Aptos" w:hAnsi="Aptos"/>
          <w:color w:val="013844"/>
          <w:sz w:val="22"/>
          <w:szCs w:val="22"/>
        </w:rPr>
        <w:br/>
        <w:t xml:space="preserve">Review: number of sessions completed, what worked, what failed, actions with owners and dates. This “tight loop” aligns with common implementation playbook patterns and NSW guidance that implementation should include active review and improvement. </w:t>
      </w:r>
    </w:p>
    <w:p w14:paraId="37B78A8B"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9.5 Hypercare plan (recommended 2 weeks)</w:t>
      </w:r>
    </w:p>
    <w:p w14:paraId="174AD2E3"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Hypercare is structured support after business go-live. The aim is to reduce early drop-off in adoption by resolving issues quickly and reinforcing good practice.</w:t>
      </w:r>
    </w:p>
    <w:p w14:paraId="2C890085"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Hypercare coverage model</w:t>
      </w:r>
      <w:r w:rsidRPr="00730379">
        <w:rPr>
          <w:rFonts w:ascii="Aptos" w:hAnsi="Aptos"/>
          <w:color w:val="013844"/>
          <w:sz w:val="22"/>
          <w:szCs w:val="22"/>
        </w:rPr>
        <w:br/>
        <w:t>Week 1: short daily check-in on operating days (10–15 minutes).</w:t>
      </w:r>
      <w:r w:rsidRPr="00730379">
        <w:rPr>
          <w:rFonts w:ascii="Aptos" w:hAnsi="Aptos"/>
          <w:color w:val="013844"/>
          <w:sz w:val="22"/>
          <w:szCs w:val="22"/>
        </w:rPr>
        <w:br/>
        <w:t>Week 2: two check-ins (for example, Tuesday and Thursday).</w:t>
      </w:r>
      <w:r w:rsidRPr="00730379">
        <w:rPr>
          <w:rFonts w:ascii="Aptos" w:hAnsi="Aptos"/>
          <w:color w:val="013844"/>
          <w:sz w:val="22"/>
          <w:szCs w:val="22"/>
        </w:rPr>
        <w:br/>
        <w:t>Escalate to an ad hoc huddle if there is a safety risk, repeated technical failures, or staff confidence drops.</w:t>
      </w:r>
    </w:p>
    <w:p w14:paraId="1EE5AEAF"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NSW and related Australian implementation resources highlight the value of test calls, support, and continuous feedback early in deployment. </w:t>
      </w:r>
    </w:p>
    <w:p w14:paraId="6C6B242C"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Hypercare agenda</w:t>
      </w:r>
    </w:p>
    <w:p w14:paraId="65579974" w14:textId="77777777" w:rsidR="003F3B19" w:rsidRPr="00730379" w:rsidRDefault="003F3B19" w:rsidP="003F3B19">
      <w:pPr>
        <w:numPr>
          <w:ilvl w:val="0"/>
          <w:numId w:val="28"/>
        </w:numPr>
        <w:rPr>
          <w:rFonts w:ascii="Aptos" w:hAnsi="Aptos"/>
          <w:color w:val="013844"/>
          <w:sz w:val="22"/>
          <w:szCs w:val="22"/>
        </w:rPr>
      </w:pPr>
      <w:r w:rsidRPr="00730379">
        <w:rPr>
          <w:rFonts w:ascii="Aptos" w:hAnsi="Aptos"/>
          <w:color w:val="013844"/>
          <w:sz w:val="22"/>
          <w:szCs w:val="22"/>
        </w:rPr>
        <w:t>Adoption: sessions completed by use case, who used it, where it stuck</w:t>
      </w:r>
    </w:p>
    <w:p w14:paraId="6CA6DF83" w14:textId="77777777" w:rsidR="003F3B19" w:rsidRPr="00730379" w:rsidRDefault="003F3B19" w:rsidP="003F3B19">
      <w:pPr>
        <w:numPr>
          <w:ilvl w:val="0"/>
          <w:numId w:val="28"/>
        </w:numPr>
        <w:rPr>
          <w:rFonts w:ascii="Aptos" w:hAnsi="Aptos"/>
          <w:color w:val="013844"/>
          <w:sz w:val="22"/>
          <w:szCs w:val="22"/>
        </w:rPr>
      </w:pPr>
      <w:r w:rsidRPr="00730379">
        <w:rPr>
          <w:rFonts w:ascii="Aptos" w:hAnsi="Aptos"/>
          <w:color w:val="013844"/>
          <w:sz w:val="22"/>
          <w:szCs w:val="22"/>
        </w:rPr>
        <w:t>Safety and quality: any near misses, escalation events, consent or documentation issues</w:t>
      </w:r>
    </w:p>
    <w:p w14:paraId="58D9A5C4" w14:textId="77777777" w:rsidR="003F3B19" w:rsidRPr="00730379" w:rsidRDefault="003F3B19" w:rsidP="003F3B19">
      <w:pPr>
        <w:numPr>
          <w:ilvl w:val="0"/>
          <w:numId w:val="28"/>
        </w:numPr>
        <w:rPr>
          <w:rFonts w:ascii="Aptos" w:hAnsi="Aptos"/>
          <w:color w:val="013844"/>
          <w:sz w:val="22"/>
          <w:szCs w:val="22"/>
        </w:rPr>
      </w:pPr>
      <w:r w:rsidRPr="00730379">
        <w:rPr>
          <w:rFonts w:ascii="Aptos" w:hAnsi="Aptos"/>
          <w:color w:val="013844"/>
          <w:sz w:val="22"/>
          <w:szCs w:val="22"/>
        </w:rPr>
        <w:t>Technical: repeated failure modes, connectivity patterns, peripherals performance</w:t>
      </w:r>
    </w:p>
    <w:p w14:paraId="30B92FBD" w14:textId="77777777" w:rsidR="003F3B19" w:rsidRPr="00730379" w:rsidRDefault="003F3B19" w:rsidP="003F3B19">
      <w:pPr>
        <w:numPr>
          <w:ilvl w:val="0"/>
          <w:numId w:val="28"/>
        </w:numPr>
        <w:rPr>
          <w:rFonts w:ascii="Aptos" w:hAnsi="Aptos"/>
          <w:color w:val="013844"/>
          <w:sz w:val="22"/>
          <w:szCs w:val="22"/>
        </w:rPr>
      </w:pPr>
      <w:r w:rsidRPr="00730379">
        <w:rPr>
          <w:rFonts w:ascii="Aptos" w:hAnsi="Aptos"/>
          <w:color w:val="013844"/>
          <w:sz w:val="22"/>
          <w:szCs w:val="22"/>
        </w:rPr>
        <w:lastRenderedPageBreak/>
        <w:t>Actions: owners, dates, retest requirements</w:t>
      </w:r>
    </w:p>
    <w:p w14:paraId="4B692FD7"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9.6 Issues log template (RAID for go-live)</w:t>
      </w:r>
    </w:p>
    <w:p w14:paraId="1D5D1E34"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Use one shared log. This becomes the single source of truth during </w:t>
      </w:r>
      <w:proofErr w:type="spellStart"/>
      <w:r w:rsidRPr="00730379">
        <w:rPr>
          <w:rFonts w:ascii="Aptos" w:hAnsi="Aptos"/>
          <w:color w:val="013844"/>
          <w:sz w:val="22"/>
          <w:szCs w:val="22"/>
        </w:rPr>
        <w:t>hypercare</w:t>
      </w:r>
      <w:proofErr w:type="spellEnd"/>
      <w:r w:rsidRPr="00730379">
        <w:rPr>
          <w:rFonts w:ascii="Aptos" w:hAnsi="Aptos"/>
          <w:color w:val="013844"/>
          <w:sz w:val="22"/>
          <w:szCs w:val="22"/>
        </w:rPr>
        <w:t>.</w:t>
      </w:r>
    </w:p>
    <w:tbl>
      <w:tblPr>
        <w:tblW w:w="9058"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368"/>
        <w:gridCol w:w="625"/>
        <w:gridCol w:w="2976"/>
        <w:gridCol w:w="1134"/>
        <w:gridCol w:w="709"/>
        <w:gridCol w:w="709"/>
        <w:gridCol w:w="850"/>
        <w:gridCol w:w="1011"/>
        <w:gridCol w:w="676"/>
      </w:tblGrid>
      <w:tr w:rsidR="003F3B19" w:rsidRPr="00730379" w14:paraId="5418B152" w14:textId="77777777" w:rsidTr="003F3B19">
        <w:trPr>
          <w:tblHeader/>
          <w:tblCellSpacing w:w="15" w:type="dxa"/>
        </w:trPr>
        <w:tc>
          <w:tcPr>
            <w:tcW w:w="323" w:type="dxa"/>
            <w:vAlign w:val="center"/>
            <w:hideMark/>
          </w:tcPr>
          <w:p w14:paraId="185C753A"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ID</w:t>
            </w:r>
          </w:p>
        </w:tc>
        <w:tc>
          <w:tcPr>
            <w:tcW w:w="595" w:type="dxa"/>
            <w:vAlign w:val="center"/>
            <w:hideMark/>
          </w:tcPr>
          <w:p w14:paraId="2E09FEB9"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Date</w:t>
            </w:r>
          </w:p>
        </w:tc>
        <w:tc>
          <w:tcPr>
            <w:tcW w:w="2946" w:type="dxa"/>
            <w:vAlign w:val="center"/>
            <w:hideMark/>
          </w:tcPr>
          <w:p w14:paraId="507DD214" w14:textId="7BD306CF" w:rsidR="003F3B19" w:rsidRPr="00730379" w:rsidRDefault="003F3B19" w:rsidP="003F3B19">
            <w:pPr>
              <w:jc w:val="center"/>
              <w:rPr>
                <w:rFonts w:ascii="Aptos" w:hAnsi="Aptos"/>
                <w:b/>
                <w:bCs/>
                <w:color w:val="013844"/>
                <w:sz w:val="18"/>
                <w:szCs w:val="18"/>
              </w:rPr>
            </w:pPr>
            <w:r w:rsidRPr="00730379">
              <w:rPr>
                <w:rFonts w:ascii="Aptos" w:hAnsi="Aptos"/>
                <w:b/>
                <w:bCs/>
                <w:color w:val="013844"/>
                <w:sz w:val="18"/>
                <w:szCs w:val="18"/>
              </w:rPr>
              <w:t xml:space="preserve">Category: </w:t>
            </w:r>
            <w:r w:rsidRPr="00730379">
              <w:rPr>
                <w:rFonts w:ascii="Aptos" w:hAnsi="Aptos"/>
                <w:color w:val="013844"/>
                <w:sz w:val="18"/>
                <w:szCs w:val="18"/>
              </w:rPr>
              <w:t>(Clinical / Workflow / Tech / Privacy /Training)</w:t>
            </w:r>
          </w:p>
        </w:tc>
        <w:tc>
          <w:tcPr>
            <w:tcW w:w="1104" w:type="dxa"/>
            <w:vAlign w:val="center"/>
            <w:hideMark/>
          </w:tcPr>
          <w:p w14:paraId="05F11F10"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Description</w:t>
            </w:r>
          </w:p>
        </w:tc>
        <w:tc>
          <w:tcPr>
            <w:tcW w:w="679" w:type="dxa"/>
            <w:vAlign w:val="center"/>
            <w:hideMark/>
          </w:tcPr>
          <w:p w14:paraId="0E415B78"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Impact</w:t>
            </w:r>
          </w:p>
        </w:tc>
        <w:tc>
          <w:tcPr>
            <w:tcW w:w="679" w:type="dxa"/>
            <w:vAlign w:val="center"/>
            <w:hideMark/>
          </w:tcPr>
          <w:p w14:paraId="7C5EB5F9"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Owner</w:t>
            </w:r>
          </w:p>
        </w:tc>
        <w:tc>
          <w:tcPr>
            <w:tcW w:w="820" w:type="dxa"/>
            <w:vAlign w:val="center"/>
            <w:hideMark/>
          </w:tcPr>
          <w:p w14:paraId="5878182D"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Action</w:t>
            </w:r>
          </w:p>
        </w:tc>
        <w:tc>
          <w:tcPr>
            <w:tcW w:w="981" w:type="dxa"/>
            <w:vAlign w:val="center"/>
            <w:hideMark/>
          </w:tcPr>
          <w:p w14:paraId="124466F8"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Due date</w:t>
            </w:r>
          </w:p>
        </w:tc>
        <w:tc>
          <w:tcPr>
            <w:tcW w:w="631" w:type="dxa"/>
            <w:vAlign w:val="center"/>
            <w:hideMark/>
          </w:tcPr>
          <w:p w14:paraId="652EEBCB" w14:textId="77777777" w:rsidR="003F3B19" w:rsidRPr="00730379" w:rsidRDefault="003F3B19" w:rsidP="003F3B19">
            <w:pPr>
              <w:rPr>
                <w:rFonts w:ascii="Aptos" w:hAnsi="Aptos"/>
                <w:b/>
                <w:bCs/>
                <w:color w:val="013844"/>
                <w:sz w:val="18"/>
                <w:szCs w:val="18"/>
              </w:rPr>
            </w:pPr>
            <w:r w:rsidRPr="00730379">
              <w:rPr>
                <w:rFonts w:ascii="Aptos" w:hAnsi="Aptos"/>
                <w:b/>
                <w:bCs/>
                <w:color w:val="013844"/>
                <w:sz w:val="18"/>
                <w:szCs w:val="18"/>
              </w:rPr>
              <w:t>Status</w:t>
            </w:r>
          </w:p>
        </w:tc>
      </w:tr>
      <w:tr w:rsidR="003F3B19" w:rsidRPr="00730379" w14:paraId="614873AE" w14:textId="77777777" w:rsidTr="003F3B19">
        <w:trPr>
          <w:tblHeader/>
          <w:tblCellSpacing w:w="15" w:type="dxa"/>
        </w:trPr>
        <w:tc>
          <w:tcPr>
            <w:tcW w:w="323" w:type="dxa"/>
            <w:vAlign w:val="center"/>
          </w:tcPr>
          <w:p w14:paraId="1C3F6605" w14:textId="77777777" w:rsidR="003F3B19" w:rsidRPr="00730379" w:rsidRDefault="003F3B19" w:rsidP="003F3B19">
            <w:pPr>
              <w:rPr>
                <w:rFonts w:ascii="Aptos" w:hAnsi="Aptos"/>
                <w:b/>
                <w:bCs/>
                <w:color w:val="013844"/>
                <w:sz w:val="18"/>
                <w:szCs w:val="18"/>
              </w:rPr>
            </w:pPr>
          </w:p>
        </w:tc>
        <w:tc>
          <w:tcPr>
            <w:tcW w:w="595" w:type="dxa"/>
            <w:vAlign w:val="center"/>
          </w:tcPr>
          <w:p w14:paraId="473994C6" w14:textId="77777777" w:rsidR="003F3B19" w:rsidRPr="00730379" w:rsidRDefault="003F3B19" w:rsidP="003F3B19">
            <w:pPr>
              <w:rPr>
                <w:rFonts w:ascii="Aptos" w:hAnsi="Aptos"/>
                <w:b/>
                <w:bCs/>
                <w:color w:val="013844"/>
                <w:sz w:val="18"/>
                <w:szCs w:val="18"/>
              </w:rPr>
            </w:pPr>
          </w:p>
        </w:tc>
        <w:tc>
          <w:tcPr>
            <w:tcW w:w="2946" w:type="dxa"/>
            <w:vAlign w:val="center"/>
          </w:tcPr>
          <w:p w14:paraId="070D4A4C" w14:textId="77777777" w:rsidR="003F3B19" w:rsidRPr="00730379" w:rsidRDefault="003F3B19" w:rsidP="003F3B19">
            <w:pPr>
              <w:rPr>
                <w:rFonts w:ascii="Aptos" w:hAnsi="Aptos"/>
                <w:b/>
                <w:bCs/>
                <w:color w:val="013844"/>
                <w:sz w:val="18"/>
                <w:szCs w:val="18"/>
              </w:rPr>
            </w:pPr>
          </w:p>
        </w:tc>
        <w:tc>
          <w:tcPr>
            <w:tcW w:w="1104" w:type="dxa"/>
            <w:vAlign w:val="center"/>
          </w:tcPr>
          <w:p w14:paraId="23E7FB56" w14:textId="77777777" w:rsidR="003F3B19" w:rsidRPr="00730379" w:rsidRDefault="003F3B19" w:rsidP="003F3B19">
            <w:pPr>
              <w:rPr>
                <w:rFonts w:ascii="Aptos" w:hAnsi="Aptos"/>
                <w:b/>
                <w:bCs/>
                <w:color w:val="013844"/>
                <w:sz w:val="18"/>
                <w:szCs w:val="18"/>
              </w:rPr>
            </w:pPr>
          </w:p>
        </w:tc>
        <w:tc>
          <w:tcPr>
            <w:tcW w:w="679" w:type="dxa"/>
            <w:vAlign w:val="center"/>
          </w:tcPr>
          <w:p w14:paraId="15A1CECA" w14:textId="77777777" w:rsidR="003F3B19" w:rsidRPr="00730379" w:rsidRDefault="003F3B19" w:rsidP="003F3B19">
            <w:pPr>
              <w:rPr>
                <w:rFonts w:ascii="Aptos" w:hAnsi="Aptos"/>
                <w:b/>
                <w:bCs/>
                <w:color w:val="013844"/>
                <w:sz w:val="18"/>
                <w:szCs w:val="18"/>
              </w:rPr>
            </w:pPr>
          </w:p>
        </w:tc>
        <w:tc>
          <w:tcPr>
            <w:tcW w:w="679" w:type="dxa"/>
            <w:vAlign w:val="center"/>
          </w:tcPr>
          <w:p w14:paraId="7B86C5DD" w14:textId="77777777" w:rsidR="003F3B19" w:rsidRPr="00730379" w:rsidRDefault="003F3B19" w:rsidP="003F3B19">
            <w:pPr>
              <w:rPr>
                <w:rFonts w:ascii="Aptos" w:hAnsi="Aptos"/>
                <w:b/>
                <w:bCs/>
                <w:color w:val="013844"/>
                <w:sz w:val="18"/>
                <w:szCs w:val="18"/>
              </w:rPr>
            </w:pPr>
          </w:p>
        </w:tc>
        <w:tc>
          <w:tcPr>
            <w:tcW w:w="820" w:type="dxa"/>
            <w:vAlign w:val="center"/>
          </w:tcPr>
          <w:p w14:paraId="7C61AF1C" w14:textId="77777777" w:rsidR="003F3B19" w:rsidRPr="00730379" w:rsidRDefault="003F3B19" w:rsidP="003F3B19">
            <w:pPr>
              <w:rPr>
                <w:rFonts w:ascii="Aptos" w:hAnsi="Aptos"/>
                <w:b/>
                <w:bCs/>
                <w:color w:val="013844"/>
                <w:sz w:val="18"/>
                <w:szCs w:val="18"/>
              </w:rPr>
            </w:pPr>
          </w:p>
        </w:tc>
        <w:tc>
          <w:tcPr>
            <w:tcW w:w="981" w:type="dxa"/>
            <w:vAlign w:val="center"/>
          </w:tcPr>
          <w:p w14:paraId="4A87C0E1" w14:textId="77777777" w:rsidR="003F3B19" w:rsidRPr="00730379" w:rsidRDefault="003F3B19" w:rsidP="003F3B19">
            <w:pPr>
              <w:rPr>
                <w:rFonts w:ascii="Aptos" w:hAnsi="Aptos"/>
                <w:b/>
                <w:bCs/>
                <w:color w:val="013844"/>
                <w:sz w:val="18"/>
                <w:szCs w:val="18"/>
              </w:rPr>
            </w:pPr>
          </w:p>
        </w:tc>
        <w:tc>
          <w:tcPr>
            <w:tcW w:w="631" w:type="dxa"/>
            <w:vAlign w:val="center"/>
          </w:tcPr>
          <w:p w14:paraId="54FF4D61" w14:textId="77777777" w:rsidR="003F3B19" w:rsidRPr="00730379" w:rsidRDefault="003F3B19" w:rsidP="003F3B19">
            <w:pPr>
              <w:rPr>
                <w:rFonts w:ascii="Aptos" w:hAnsi="Aptos"/>
                <w:b/>
                <w:bCs/>
                <w:color w:val="013844"/>
                <w:sz w:val="18"/>
                <w:szCs w:val="18"/>
              </w:rPr>
            </w:pPr>
          </w:p>
        </w:tc>
      </w:tr>
    </w:tbl>
    <w:p w14:paraId="52578A2E"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Where issues touch clinical safety, escalation, consent, or documentation, treat them as priority. AHPRA virtual care guidance (see References) makes clear that records, follow-up, and continuity remain essential after virtual consultations. </w:t>
      </w:r>
    </w:p>
    <w:p w14:paraId="035CD610"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9.7 Go-live escalation pathways</w:t>
      </w:r>
    </w:p>
    <w:p w14:paraId="1B8CE501"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Document two clear pathways so staff do not hesitate.</w:t>
      </w:r>
    </w:p>
    <w:p w14:paraId="073A0BE4"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Clinical escalation</w:t>
      </w:r>
      <w:r w:rsidRPr="00730379">
        <w:rPr>
          <w:rFonts w:ascii="Aptos" w:hAnsi="Aptos"/>
          <w:color w:val="013844"/>
          <w:sz w:val="22"/>
          <w:szCs w:val="22"/>
        </w:rPr>
        <w:br/>
        <w:t xml:space="preserve">If a patient deteriorates or a red flag is identified, follow the site escalation pathway defined in Section 4, including after-hours rules. This aligns with NSW safety expectations for virtual care models that require clear escalation and safety governance. </w:t>
      </w:r>
    </w:p>
    <w:p w14:paraId="58E6E9F7"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Technical escalation</w:t>
      </w:r>
      <w:r w:rsidRPr="00730379">
        <w:rPr>
          <w:rFonts w:ascii="Aptos" w:hAnsi="Aptos"/>
          <w:color w:val="013844"/>
          <w:sz w:val="22"/>
          <w:szCs w:val="22"/>
        </w:rPr>
        <w:br/>
        <w:t xml:space="preserve">If video fails or equipment does not function, apply the failover step immediately (audio-only or phone, or reschedule if clinically appropriate), then log the issue and escalate to IT or Visionflex support based on the support pathway. Australian virtual care implementation resources (see References) explicitly recommend test calls and structured support to address issues early. </w:t>
      </w:r>
    </w:p>
    <w:p w14:paraId="2DAA9527"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9.8 Go-live exit criteria</w:t>
      </w:r>
    </w:p>
    <w:p w14:paraId="0428CCA4"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Hypercare can close when the site demonstrates stable BAU operation:</w:t>
      </w:r>
    </w:p>
    <w:p w14:paraId="2C3F7065" w14:textId="77777777" w:rsidR="003F3B19" w:rsidRPr="00730379" w:rsidRDefault="003F3B19" w:rsidP="003F3B19">
      <w:pPr>
        <w:numPr>
          <w:ilvl w:val="0"/>
          <w:numId w:val="29"/>
        </w:numPr>
        <w:rPr>
          <w:rFonts w:ascii="Aptos" w:hAnsi="Aptos"/>
          <w:color w:val="013844"/>
          <w:sz w:val="22"/>
          <w:szCs w:val="22"/>
        </w:rPr>
      </w:pPr>
      <w:r w:rsidRPr="00730379">
        <w:rPr>
          <w:rFonts w:ascii="Aptos" w:hAnsi="Aptos"/>
          <w:color w:val="013844"/>
          <w:sz w:val="22"/>
          <w:szCs w:val="22"/>
        </w:rPr>
        <w:t>UC1–UC3 can be run reliably without vendor support for routine cases</w:t>
      </w:r>
    </w:p>
    <w:p w14:paraId="18C78ABE" w14:textId="77777777" w:rsidR="003F3B19" w:rsidRPr="00730379" w:rsidRDefault="003F3B19" w:rsidP="003F3B19">
      <w:pPr>
        <w:numPr>
          <w:ilvl w:val="0"/>
          <w:numId w:val="29"/>
        </w:numPr>
        <w:rPr>
          <w:rFonts w:ascii="Aptos" w:hAnsi="Aptos"/>
          <w:color w:val="013844"/>
          <w:sz w:val="22"/>
          <w:szCs w:val="22"/>
        </w:rPr>
      </w:pPr>
      <w:r w:rsidRPr="00730379">
        <w:rPr>
          <w:rFonts w:ascii="Aptos" w:hAnsi="Aptos"/>
          <w:color w:val="013844"/>
          <w:sz w:val="22"/>
          <w:szCs w:val="22"/>
        </w:rPr>
        <w:t>Champions can coach peers and address common issues</w:t>
      </w:r>
    </w:p>
    <w:p w14:paraId="3A224968" w14:textId="77777777" w:rsidR="003F3B19" w:rsidRPr="00730379" w:rsidRDefault="003F3B19" w:rsidP="003F3B19">
      <w:pPr>
        <w:numPr>
          <w:ilvl w:val="0"/>
          <w:numId w:val="29"/>
        </w:numPr>
        <w:rPr>
          <w:rFonts w:ascii="Aptos" w:hAnsi="Aptos"/>
          <w:color w:val="013844"/>
          <w:sz w:val="22"/>
          <w:szCs w:val="22"/>
        </w:rPr>
      </w:pPr>
      <w:r w:rsidRPr="00730379">
        <w:rPr>
          <w:rFonts w:ascii="Aptos" w:hAnsi="Aptos"/>
          <w:color w:val="013844"/>
          <w:sz w:val="22"/>
          <w:szCs w:val="22"/>
        </w:rPr>
        <w:t>There are no open high-risk clinical, privacy, or security issues</w:t>
      </w:r>
    </w:p>
    <w:p w14:paraId="5066DEF7" w14:textId="77777777" w:rsidR="003F3B19" w:rsidRPr="00730379" w:rsidRDefault="003F3B19" w:rsidP="003F3B19">
      <w:pPr>
        <w:numPr>
          <w:ilvl w:val="0"/>
          <w:numId w:val="29"/>
        </w:numPr>
        <w:rPr>
          <w:rFonts w:ascii="Aptos" w:hAnsi="Aptos"/>
          <w:color w:val="013844"/>
          <w:sz w:val="22"/>
          <w:szCs w:val="22"/>
        </w:rPr>
      </w:pPr>
      <w:r w:rsidRPr="00730379">
        <w:rPr>
          <w:rFonts w:ascii="Aptos" w:hAnsi="Aptos"/>
          <w:color w:val="013844"/>
          <w:sz w:val="22"/>
          <w:szCs w:val="22"/>
        </w:rPr>
        <w:t>A 30-day review meeting is scheduled and the BAU owner is confirmed</w:t>
      </w:r>
    </w:p>
    <w:p w14:paraId="15848ED0"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(Closing </w:t>
      </w:r>
      <w:proofErr w:type="spellStart"/>
      <w:r w:rsidRPr="00730379">
        <w:rPr>
          <w:rFonts w:ascii="Aptos" w:hAnsi="Aptos"/>
          <w:color w:val="013844"/>
          <w:sz w:val="22"/>
          <w:szCs w:val="22"/>
        </w:rPr>
        <w:t>hypercare</w:t>
      </w:r>
      <w:proofErr w:type="spellEnd"/>
      <w:r w:rsidRPr="00730379">
        <w:rPr>
          <w:rFonts w:ascii="Aptos" w:hAnsi="Aptos"/>
          <w:color w:val="013844"/>
          <w:sz w:val="22"/>
          <w:szCs w:val="22"/>
        </w:rPr>
        <w:t xml:space="preserve"> into a defined BAU review cadence is consistent with NSW virtual care implementation guidance on ongoing use and improvement.) </w:t>
      </w:r>
    </w:p>
    <w:p w14:paraId="19677651"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9.9 Sign-off checkpoint</w:t>
      </w:r>
    </w:p>
    <w:p w14:paraId="3132B01B"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Project Lead: ________________________________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Clinical Lead: ________________________________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r>
      <w:r w:rsidRPr="00730379">
        <w:rPr>
          <w:rFonts w:ascii="Aptos" w:hAnsi="Aptos"/>
          <w:color w:val="013844"/>
          <w:sz w:val="22"/>
          <w:szCs w:val="22"/>
        </w:rPr>
        <w:lastRenderedPageBreak/>
        <w:t xml:space="preserve">IT Lead: _____________________________________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Visionflex Implementation Lead: 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22966B87" w14:textId="77777777" w:rsidR="001A2B51" w:rsidRPr="00730379" w:rsidRDefault="001A2B51">
      <w:pPr>
        <w:rPr>
          <w:rFonts w:ascii="Aptos" w:hAnsi="Aptos"/>
          <w:color w:val="013844"/>
          <w:sz w:val="22"/>
          <w:szCs w:val="22"/>
        </w:rPr>
      </w:pPr>
    </w:p>
    <w:p w14:paraId="2D88A853" w14:textId="41CF100F" w:rsidR="003F3B19" w:rsidRPr="00BA74CE" w:rsidRDefault="00BA74CE" w:rsidP="003F3B19">
      <w:pPr>
        <w:pStyle w:val="Heading2"/>
        <w:rPr>
          <w:rFonts w:ascii="Aptos" w:hAnsi="Aptos"/>
          <w:b/>
          <w:bCs/>
          <w:color w:val="013844"/>
        </w:rPr>
      </w:pPr>
      <w:bookmarkStart w:id="9" w:name="_Toc219805103"/>
      <w:r w:rsidRPr="00BA74CE">
        <w:rPr>
          <w:rFonts w:ascii="Aptos" w:hAnsi="Aptos"/>
          <w:color w:val="013844"/>
          <w:sz w:val="24"/>
          <w:szCs w:val="24"/>
        </w:rPr>
        <w:t>SECTION 10</w:t>
      </w:r>
      <w:r w:rsidRPr="00730379">
        <w:rPr>
          <w:rFonts w:ascii="Aptos" w:hAnsi="Aptos"/>
          <w:color w:val="013844"/>
          <w:sz w:val="28"/>
          <w:szCs w:val="28"/>
        </w:rPr>
        <w:t xml:space="preserve"> </w:t>
      </w:r>
      <w:r>
        <w:rPr>
          <w:rFonts w:ascii="Aptos" w:hAnsi="Aptos"/>
          <w:color w:val="013844"/>
          <w:sz w:val="28"/>
          <w:szCs w:val="28"/>
        </w:rPr>
        <w:br/>
      </w:r>
      <w:r w:rsidR="003F3B19" w:rsidRPr="00BA74CE">
        <w:rPr>
          <w:rFonts w:ascii="Aptos" w:hAnsi="Aptos"/>
          <w:b/>
          <w:bCs/>
          <w:color w:val="013844"/>
        </w:rPr>
        <w:t>BAU operations and continuous improvement</w:t>
      </w:r>
      <w:bookmarkEnd w:id="9"/>
    </w:p>
    <w:p w14:paraId="6EAE4600"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10.1 Objective</w:t>
      </w:r>
    </w:p>
    <w:p w14:paraId="2EC063A4"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Embed Visionflex virtual care into routine operations at [Site] with clear BAU ownership, documented SOPs, a consistent support model, and a simple monitoring and evaluation cycle that drives safe uptake and ongoing improvement. NSW guidance is explicit that monitoring and evaluation underpin continuous improvement in virtual care services. </w:t>
      </w:r>
    </w:p>
    <w:p w14:paraId="25BB44F3"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10.2 BAU ownership and accountability</w:t>
      </w:r>
    </w:p>
    <w:p w14:paraId="1C50E4DD"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Once </w:t>
      </w:r>
      <w:proofErr w:type="spellStart"/>
      <w:r w:rsidRPr="00730379">
        <w:rPr>
          <w:rFonts w:ascii="Aptos" w:hAnsi="Aptos"/>
          <w:color w:val="013844"/>
          <w:sz w:val="22"/>
          <w:szCs w:val="22"/>
        </w:rPr>
        <w:t>hypercare</w:t>
      </w:r>
      <w:proofErr w:type="spellEnd"/>
      <w:r w:rsidRPr="00730379">
        <w:rPr>
          <w:rFonts w:ascii="Aptos" w:hAnsi="Aptos"/>
          <w:color w:val="013844"/>
          <w:sz w:val="22"/>
          <w:szCs w:val="22"/>
        </w:rPr>
        <w:t xml:space="preserve"> closes, BAU ownership must be assigned so virtual care is not dependent on the original project team.</w:t>
      </w:r>
    </w:p>
    <w:p w14:paraId="6668A9CE"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Recommended BAU roles (single site)</w:t>
      </w:r>
    </w:p>
    <w:p w14:paraId="58473487" w14:textId="77777777" w:rsidR="003F3B19" w:rsidRPr="00730379" w:rsidRDefault="003F3B19" w:rsidP="003F3B19">
      <w:pPr>
        <w:numPr>
          <w:ilvl w:val="0"/>
          <w:numId w:val="30"/>
        </w:numPr>
        <w:rPr>
          <w:rFonts w:ascii="Aptos" w:hAnsi="Aptos"/>
          <w:color w:val="013844"/>
          <w:sz w:val="22"/>
          <w:szCs w:val="22"/>
        </w:rPr>
      </w:pPr>
      <w:r w:rsidRPr="00730379">
        <w:rPr>
          <w:rFonts w:ascii="Aptos" w:hAnsi="Aptos"/>
          <w:b/>
          <w:bCs/>
          <w:color w:val="013844"/>
          <w:sz w:val="22"/>
          <w:szCs w:val="22"/>
        </w:rPr>
        <w:t>Service Owner (Accountable):</w:t>
      </w:r>
      <w:r w:rsidRPr="00730379">
        <w:rPr>
          <w:rFonts w:ascii="Aptos" w:hAnsi="Aptos"/>
          <w:color w:val="013844"/>
          <w:sz w:val="22"/>
          <w:szCs w:val="22"/>
        </w:rPr>
        <w:t xml:space="preserve"> Head of Clinical (or delegated clinical governance lead)</w:t>
      </w:r>
    </w:p>
    <w:p w14:paraId="3EB70013" w14:textId="77777777" w:rsidR="003F3B19" w:rsidRPr="00730379" w:rsidRDefault="003F3B19" w:rsidP="003F3B19">
      <w:pPr>
        <w:numPr>
          <w:ilvl w:val="0"/>
          <w:numId w:val="30"/>
        </w:numPr>
        <w:rPr>
          <w:rFonts w:ascii="Aptos" w:hAnsi="Aptos"/>
          <w:color w:val="013844"/>
          <w:sz w:val="22"/>
          <w:szCs w:val="22"/>
        </w:rPr>
      </w:pPr>
      <w:r w:rsidRPr="00730379">
        <w:rPr>
          <w:rFonts w:ascii="Aptos" w:hAnsi="Aptos"/>
          <w:b/>
          <w:bCs/>
          <w:color w:val="013844"/>
          <w:sz w:val="22"/>
          <w:szCs w:val="22"/>
        </w:rPr>
        <w:t>Operations Owner (Responsible):</w:t>
      </w:r>
      <w:r w:rsidRPr="00730379">
        <w:rPr>
          <w:rFonts w:ascii="Aptos" w:hAnsi="Aptos"/>
          <w:color w:val="013844"/>
          <w:sz w:val="22"/>
          <w:szCs w:val="22"/>
        </w:rPr>
        <w:t xml:space="preserve"> Practice Manager, Clinic Operations Manager, or Nurse Unit Manager (site dependent)</w:t>
      </w:r>
    </w:p>
    <w:p w14:paraId="0D8ABB5D" w14:textId="77777777" w:rsidR="003F3B19" w:rsidRPr="00730379" w:rsidRDefault="003F3B19" w:rsidP="003F3B19">
      <w:pPr>
        <w:numPr>
          <w:ilvl w:val="0"/>
          <w:numId w:val="30"/>
        </w:numPr>
        <w:rPr>
          <w:rFonts w:ascii="Aptos" w:hAnsi="Aptos"/>
          <w:color w:val="013844"/>
          <w:sz w:val="22"/>
          <w:szCs w:val="22"/>
        </w:rPr>
      </w:pPr>
      <w:r w:rsidRPr="00730379">
        <w:rPr>
          <w:rFonts w:ascii="Aptos" w:hAnsi="Aptos"/>
          <w:b/>
          <w:bCs/>
          <w:color w:val="013844"/>
          <w:sz w:val="22"/>
          <w:szCs w:val="22"/>
        </w:rPr>
        <w:t>Technical Owner (Responsible):</w:t>
      </w:r>
      <w:r w:rsidRPr="00730379">
        <w:rPr>
          <w:rFonts w:ascii="Aptos" w:hAnsi="Aptos"/>
          <w:color w:val="013844"/>
          <w:sz w:val="22"/>
          <w:szCs w:val="22"/>
        </w:rPr>
        <w:t xml:space="preserve"> IT Lead or nominated IT support function</w:t>
      </w:r>
    </w:p>
    <w:p w14:paraId="1E4285D3" w14:textId="77777777" w:rsidR="003F3B19" w:rsidRPr="00730379" w:rsidRDefault="003F3B19" w:rsidP="003F3B19">
      <w:pPr>
        <w:numPr>
          <w:ilvl w:val="0"/>
          <w:numId w:val="30"/>
        </w:numPr>
        <w:rPr>
          <w:rFonts w:ascii="Aptos" w:hAnsi="Aptos"/>
          <w:color w:val="013844"/>
          <w:sz w:val="22"/>
          <w:szCs w:val="22"/>
        </w:rPr>
      </w:pPr>
      <w:r w:rsidRPr="00730379">
        <w:rPr>
          <w:rFonts w:ascii="Aptos" w:hAnsi="Aptos"/>
          <w:b/>
          <w:bCs/>
          <w:color w:val="013844"/>
          <w:sz w:val="22"/>
          <w:szCs w:val="22"/>
        </w:rPr>
        <w:t>Quality and Risk (Consulted):</w:t>
      </w:r>
      <w:r w:rsidRPr="00730379">
        <w:rPr>
          <w:rFonts w:ascii="Aptos" w:hAnsi="Aptos"/>
          <w:color w:val="013844"/>
          <w:sz w:val="22"/>
          <w:szCs w:val="22"/>
        </w:rPr>
        <w:t xml:space="preserve"> Privacy Officer and clinical governance committee as applicable</w:t>
      </w:r>
    </w:p>
    <w:p w14:paraId="7914BB7A"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This aligns with Australian virtual care governance expectations that safety and quality systems should be integrated with existing governance processes and reviewed over time. </w:t>
      </w:r>
    </w:p>
    <w:p w14:paraId="2B6930A1"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BAU handover record</w:t>
      </w:r>
      <w:r w:rsidRPr="00730379">
        <w:rPr>
          <w:rFonts w:ascii="Aptos" w:hAnsi="Aptos"/>
          <w:color w:val="013844"/>
          <w:sz w:val="22"/>
          <w:szCs w:val="22"/>
        </w:rPr>
        <w:br/>
        <w:t xml:space="preserve">Service Owner: 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Operations Owner: 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Technical Owner: 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7D7B6D52"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10.3 SOP embedding and document control</w:t>
      </w:r>
    </w:p>
    <w:p w14:paraId="031DE505"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All operational SOPs created in this kit should move into the customer’s document control system (or agreed shared location) with version control and review dates.</w:t>
      </w:r>
    </w:p>
    <w:p w14:paraId="2CE7989B"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Minimum SOP set for BAU:</w:t>
      </w:r>
    </w:p>
    <w:p w14:paraId="4BD63718" w14:textId="77777777" w:rsidR="003F3B19" w:rsidRPr="00730379" w:rsidRDefault="003F3B19" w:rsidP="003F3B19">
      <w:pPr>
        <w:numPr>
          <w:ilvl w:val="0"/>
          <w:numId w:val="31"/>
        </w:numPr>
        <w:rPr>
          <w:rFonts w:ascii="Aptos" w:hAnsi="Aptos"/>
          <w:color w:val="013844"/>
          <w:sz w:val="22"/>
          <w:szCs w:val="22"/>
        </w:rPr>
      </w:pPr>
      <w:r w:rsidRPr="00730379">
        <w:rPr>
          <w:rFonts w:ascii="Aptos" w:hAnsi="Aptos"/>
          <w:color w:val="013844"/>
          <w:sz w:val="22"/>
          <w:szCs w:val="22"/>
        </w:rPr>
        <w:t>Virtual care session SOP (clinic-based)</w:t>
      </w:r>
    </w:p>
    <w:p w14:paraId="740C7AD1" w14:textId="77777777" w:rsidR="003F3B19" w:rsidRPr="00730379" w:rsidRDefault="003F3B19" w:rsidP="003F3B19">
      <w:pPr>
        <w:numPr>
          <w:ilvl w:val="0"/>
          <w:numId w:val="31"/>
        </w:numPr>
        <w:rPr>
          <w:rFonts w:ascii="Aptos" w:hAnsi="Aptos"/>
          <w:color w:val="013844"/>
          <w:sz w:val="22"/>
          <w:szCs w:val="22"/>
        </w:rPr>
      </w:pPr>
      <w:r w:rsidRPr="00730379">
        <w:rPr>
          <w:rFonts w:ascii="Aptos" w:hAnsi="Aptos"/>
          <w:color w:val="013844"/>
          <w:sz w:val="22"/>
          <w:szCs w:val="22"/>
        </w:rPr>
        <w:lastRenderedPageBreak/>
        <w:t>Mobile/outreach SOP (if applicable)</w:t>
      </w:r>
    </w:p>
    <w:p w14:paraId="1DD0A1BC" w14:textId="77777777" w:rsidR="003F3B19" w:rsidRPr="00730379" w:rsidRDefault="003F3B19" w:rsidP="003F3B19">
      <w:pPr>
        <w:numPr>
          <w:ilvl w:val="0"/>
          <w:numId w:val="31"/>
        </w:numPr>
        <w:rPr>
          <w:rFonts w:ascii="Aptos" w:hAnsi="Aptos"/>
          <w:color w:val="013844"/>
          <w:sz w:val="22"/>
          <w:szCs w:val="22"/>
        </w:rPr>
      </w:pPr>
      <w:r w:rsidRPr="00730379">
        <w:rPr>
          <w:rFonts w:ascii="Aptos" w:hAnsi="Aptos"/>
          <w:color w:val="013844"/>
          <w:sz w:val="22"/>
          <w:szCs w:val="22"/>
        </w:rPr>
        <w:t>In-home support SOP (if applicable)</w:t>
      </w:r>
    </w:p>
    <w:p w14:paraId="67D95BDF" w14:textId="77777777" w:rsidR="003F3B19" w:rsidRPr="00730379" w:rsidRDefault="003F3B19" w:rsidP="003F3B19">
      <w:pPr>
        <w:numPr>
          <w:ilvl w:val="0"/>
          <w:numId w:val="31"/>
        </w:numPr>
        <w:rPr>
          <w:rFonts w:ascii="Aptos" w:hAnsi="Aptos"/>
          <w:color w:val="013844"/>
          <w:sz w:val="22"/>
          <w:szCs w:val="22"/>
        </w:rPr>
      </w:pPr>
      <w:r w:rsidRPr="00730379">
        <w:rPr>
          <w:rFonts w:ascii="Aptos" w:hAnsi="Aptos"/>
          <w:color w:val="013844"/>
          <w:sz w:val="22"/>
          <w:szCs w:val="22"/>
        </w:rPr>
        <w:t>Escalation and deterioration pathway</w:t>
      </w:r>
    </w:p>
    <w:p w14:paraId="18A66B28" w14:textId="77777777" w:rsidR="003F3B19" w:rsidRPr="00730379" w:rsidRDefault="003F3B19" w:rsidP="003F3B19">
      <w:pPr>
        <w:numPr>
          <w:ilvl w:val="0"/>
          <w:numId w:val="31"/>
        </w:numPr>
        <w:rPr>
          <w:rFonts w:ascii="Aptos" w:hAnsi="Aptos"/>
          <w:color w:val="013844"/>
          <w:sz w:val="22"/>
          <w:szCs w:val="22"/>
        </w:rPr>
      </w:pPr>
      <w:r w:rsidRPr="00730379">
        <w:rPr>
          <w:rFonts w:ascii="Aptos" w:hAnsi="Aptos"/>
          <w:color w:val="013844"/>
          <w:sz w:val="22"/>
          <w:szCs w:val="22"/>
        </w:rPr>
        <w:t>Troubleshooting and technical failover</w:t>
      </w:r>
    </w:p>
    <w:p w14:paraId="43699BA6" w14:textId="77777777" w:rsidR="003F3B19" w:rsidRPr="00730379" w:rsidRDefault="003F3B19" w:rsidP="003F3B19">
      <w:pPr>
        <w:numPr>
          <w:ilvl w:val="0"/>
          <w:numId w:val="31"/>
        </w:numPr>
        <w:rPr>
          <w:rFonts w:ascii="Aptos" w:hAnsi="Aptos"/>
          <w:color w:val="013844"/>
          <w:sz w:val="22"/>
          <w:szCs w:val="22"/>
        </w:rPr>
      </w:pPr>
      <w:r w:rsidRPr="00730379">
        <w:rPr>
          <w:rFonts w:ascii="Aptos" w:hAnsi="Aptos"/>
          <w:color w:val="013844"/>
          <w:sz w:val="22"/>
          <w:szCs w:val="22"/>
        </w:rPr>
        <w:t>Privacy, consent, and information handling quick guide</w:t>
      </w:r>
    </w:p>
    <w:p w14:paraId="4584F909"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Safety and quality bodies emphasise that virtual care needs clear workflows and integration into safety and quality frameworks, rather than being treated as “separate”. </w:t>
      </w:r>
    </w:p>
    <w:p w14:paraId="19529DEC"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Document review cadence</w:t>
      </w:r>
    </w:p>
    <w:p w14:paraId="11811D6F" w14:textId="77777777" w:rsidR="003F3B19" w:rsidRPr="00730379" w:rsidRDefault="003F3B19" w:rsidP="003F3B19">
      <w:pPr>
        <w:numPr>
          <w:ilvl w:val="0"/>
          <w:numId w:val="32"/>
        </w:numPr>
        <w:rPr>
          <w:rFonts w:ascii="Aptos" w:hAnsi="Aptos"/>
          <w:color w:val="013844"/>
          <w:sz w:val="22"/>
          <w:szCs w:val="22"/>
        </w:rPr>
      </w:pPr>
      <w:r w:rsidRPr="00730379">
        <w:rPr>
          <w:rFonts w:ascii="Aptos" w:hAnsi="Aptos"/>
          <w:color w:val="013844"/>
          <w:sz w:val="22"/>
          <w:szCs w:val="22"/>
        </w:rPr>
        <w:t>90 days after go-live (first review)</w:t>
      </w:r>
    </w:p>
    <w:p w14:paraId="2152F5BB" w14:textId="77777777" w:rsidR="003F3B19" w:rsidRPr="00730379" w:rsidRDefault="003F3B19" w:rsidP="003F3B19">
      <w:pPr>
        <w:numPr>
          <w:ilvl w:val="0"/>
          <w:numId w:val="32"/>
        </w:numPr>
        <w:rPr>
          <w:rFonts w:ascii="Aptos" w:hAnsi="Aptos"/>
          <w:color w:val="013844"/>
          <w:sz w:val="22"/>
          <w:szCs w:val="22"/>
        </w:rPr>
      </w:pPr>
      <w:r w:rsidRPr="00730379">
        <w:rPr>
          <w:rFonts w:ascii="Aptos" w:hAnsi="Aptos"/>
          <w:color w:val="013844"/>
          <w:sz w:val="22"/>
          <w:szCs w:val="22"/>
        </w:rPr>
        <w:t>Then every 12 months, or sooner if a safety event, material change to workflow, or platform change occurs</w:t>
      </w:r>
    </w:p>
    <w:p w14:paraId="06A9C893"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10.4 Support model in BAU</w:t>
      </w:r>
    </w:p>
    <w:p w14:paraId="3A806760"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Define what the site handles internally versus what is escalated.</w:t>
      </w:r>
    </w:p>
    <w:p w14:paraId="6B0A9BA6"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Tiered support approach</w:t>
      </w:r>
    </w:p>
    <w:p w14:paraId="11021DFA" w14:textId="77777777" w:rsidR="003F3B19" w:rsidRPr="00730379" w:rsidRDefault="003F3B19" w:rsidP="003F3B19">
      <w:pPr>
        <w:numPr>
          <w:ilvl w:val="0"/>
          <w:numId w:val="33"/>
        </w:numPr>
        <w:rPr>
          <w:rFonts w:ascii="Aptos" w:hAnsi="Aptos"/>
          <w:color w:val="013844"/>
          <w:sz w:val="22"/>
          <w:szCs w:val="22"/>
        </w:rPr>
      </w:pPr>
      <w:r w:rsidRPr="00730379">
        <w:rPr>
          <w:rFonts w:ascii="Aptos" w:hAnsi="Aptos"/>
          <w:b/>
          <w:bCs/>
          <w:color w:val="013844"/>
          <w:sz w:val="22"/>
          <w:szCs w:val="22"/>
        </w:rPr>
        <w:t>Tier 0:</w:t>
      </w:r>
      <w:r w:rsidRPr="00730379">
        <w:rPr>
          <w:rFonts w:ascii="Aptos" w:hAnsi="Aptos"/>
          <w:color w:val="013844"/>
          <w:sz w:val="22"/>
          <w:szCs w:val="22"/>
        </w:rPr>
        <w:t xml:space="preserve"> Self-service (quick guides, “how to” one-pager, known issues list)</w:t>
      </w:r>
    </w:p>
    <w:p w14:paraId="1944BE3D" w14:textId="77777777" w:rsidR="003F3B19" w:rsidRPr="00730379" w:rsidRDefault="003F3B19" w:rsidP="003F3B19">
      <w:pPr>
        <w:numPr>
          <w:ilvl w:val="0"/>
          <w:numId w:val="33"/>
        </w:numPr>
        <w:rPr>
          <w:rFonts w:ascii="Aptos" w:hAnsi="Aptos"/>
          <w:color w:val="013844"/>
          <w:sz w:val="22"/>
          <w:szCs w:val="22"/>
        </w:rPr>
      </w:pPr>
      <w:r w:rsidRPr="00730379">
        <w:rPr>
          <w:rFonts w:ascii="Aptos" w:hAnsi="Aptos"/>
          <w:b/>
          <w:bCs/>
          <w:color w:val="013844"/>
          <w:sz w:val="22"/>
          <w:szCs w:val="22"/>
        </w:rPr>
        <w:t>Tier 1:</w:t>
      </w:r>
      <w:r w:rsidRPr="00730379">
        <w:rPr>
          <w:rFonts w:ascii="Aptos" w:hAnsi="Aptos"/>
          <w:color w:val="013844"/>
          <w:sz w:val="22"/>
          <w:szCs w:val="22"/>
        </w:rPr>
        <w:t xml:space="preserve"> Champions and local super users (workflow questions, basic setup)</w:t>
      </w:r>
    </w:p>
    <w:p w14:paraId="7D42E965" w14:textId="77777777" w:rsidR="003F3B19" w:rsidRPr="00730379" w:rsidRDefault="003F3B19" w:rsidP="003F3B19">
      <w:pPr>
        <w:numPr>
          <w:ilvl w:val="0"/>
          <w:numId w:val="33"/>
        </w:numPr>
        <w:rPr>
          <w:rFonts w:ascii="Aptos" w:hAnsi="Aptos"/>
          <w:color w:val="013844"/>
          <w:sz w:val="22"/>
          <w:szCs w:val="22"/>
        </w:rPr>
      </w:pPr>
      <w:r w:rsidRPr="00730379">
        <w:rPr>
          <w:rFonts w:ascii="Aptos" w:hAnsi="Aptos"/>
          <w:b/>
          <w:bCs/>
          <w:color w:val="013844"/>
          <w:sz w:val="22"/>
          <w:szCs w:val="22"/>
        </w:rPr>
        <w:t>Tier 2:</w:t>
      </w:r>
      <w:r w:rsidRPr="00730379">
        <w:rPr>
          <w:rFonts w:ascii="Aptos" w:hAnsi="Aptos"/>
          <w:color w:val="013844"/>
          <w:sz w:val="22"/>
          <w:szCs w:val="22"/>
        </w:rPr>
        <w:t xml:space="preserve"> Customer IT support (access, connectivity, device issues)</w:t>
      </w:r>
    </w:p>
    <w:p w14:paraId="0B00D396" w14:textId="77777777" w:rsidR="003F3B19" w:rsidRPr="00730379" w:rsidRDefault="003F3B19" w:rsidP="003F3B19">
      <w:pPr>
        <w:numPr>
          <w:ilvl w:val="0"/>
          <w:numId w:val="33"/>
        </w:numPr>
        <w:rPr>
          <w:rFonts w:ascii="Aptos" w:hAnsi="Aptos"/>
          <w:color w:val="013844"/>
          <w:sz w:val="22"/>
          <w:szCs w:val="22"/>
        </w:rPr>
      </w:pPr>
      <w:r w:rsidRPr="00730379">
        <w:rPr>
          <w:rFonts w:ascii="Aptos" w:hAnsi="Aptos"/>
          <w:b/>
          <w:bCs/>
          <w:color w:val="013844"/>
          <w:sz w:val="22"/>
          <w:szCs w:val="22"/>
        </w:rPr>
        <w:t>Tier 3:</w:t>
      </w:r>
      <w:r w:rsidRPr="00730379">
        <w:rPr>
          <w:rFonts w:ascii="Aptos" w:hAnsi="Aptos"/>
          <w:color w:val="013844"/>
          <w:sz w:val="22"/>
          <w:szCs w:val="22"/>
        </w:rPr>
        <w:t xml:space="preserve"> Visionflex support (platform-specific issues, peripherals, advanced troubleshooting)</w:t>
      </w:r>
    </w:p>
    <w:p w14:paraId="39C1D9C4"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The BAU model should preserve clinical safety responsibilities and documentation expectations regardless of modality, consistent with AHPRA virtual care guidance (see References) on virtual care responsibilities. </w:t>
      </w:r>
    </w:p>
    <w:p w14:paraId="5CCBF77D"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10.5 Monitoring and evaluation framework</w:t>
      </w:r>
    </w:p>
    <w:p w14:paraId="17E25499"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Keep monitoring light but meaningful. The aim is to detect risk early, demonstrate value, and guide workflow improvements.</w:t>
      </w:r>
    </w:p>
    <w:p w14:paraId="60D4316B"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A practical reference model is NSW ACI’s virtual care monitoring and evaluation guidance, supported by safety and quality resources from the Commission and NSW CEC that emphasise embedding virtual care into safety and quality systems. </w:t>
      </w:r>
    </w:p>
    <w:p w14:paraId="4778CCC8"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What to monitor (minimum dataset)</w:t>
      </w:r>
      <w:r w:rsidRPr="00730379">
        <w:rPr>
          <w:rFonts w:ascii="Aptos" w:hAnsi="Aptos"/>
          <w:color w:val="013844"/>
          <w:sz w:val="22"/>
          <w:szCs w:val="22"/>
        </w:rPr>
        <w:br/>
        <w:t>Use four buckets so it stays balanced:</w:t>
      </w:r>
    </w:p>
    <w:p w14:paraId="0054F89D" w14:textId="77777777" w:rsidR="003F3B19" w:rsidRPr="00730379" w:rsidRDefault="003F3B19" w:rsidP="003F3B19">
      <w:pPr>
        <w:numPr>
          <w:ilvl w:val="0"/>
          <w:numId w:val="34"/>
        </w:numPr>
        <w:rPr>
          <w:rFonts w:ascii="Aptos" w:hAnsi="Aptos"/>
          <w:color w:val="013844"/>
          <w:sz w:val="22"/>
          <w:szCs w:val="22"/>
        </w:rPr>
      </w:pPr>
      <w:r w:rsidRPr="00730379">
        <w:rPr>
          <w:rFonts w:ascii="Aptos" w:hAnsi="Aptos"/>
          <w:b/>
          <w:bCs/>
          <w:color w:val="013844"/>
          <w:sz w:val="22"/>
          <w:szCs w:val="22"/>
        </w:rPr>
        <w:lastRenderedPageBreak/>
        <w:t>Activity and adoption</w:t>
      </w:r>
    </w:p>
    <w:p w14:paraId="56D25E59" w14:textId="77777777" w:rsidR="003F3B19" w:rsidRPr="00730379" w:rsidRDefault="003F3B19" w:rsidP="003F3B19">
      <w:pPr>
        <w:numPr>
          <w:ilvl w:val="0"/>
          <w:numId w:val="34"/>
        </w:numPr>
        <w:rPr>
          <w:rFonts w:ascii="Aptos" w:hAnsi="Aptos"/>
          <w:color w:val="013844"/>
          <w:sz w:val="22"/>
          <w:szCs w:val="22"/>
        </w:rPr>
      </w:pPr>
      <w:r w:rsidRPr="00730379">
        <w:rPr>
          <w:rFonts w:ascii="Aptos" w:hAnsi="Aptos"/>
          <w:b/>
          <w:bCs/>
          <w:color w:val="013844"/>
          <w:sz w:val="22"/>
          <w:szCs w:val="22"/>
        </w:rPr>
        <w:t>Safety and quality</w:t>
      </w:r>
    </w:p>
    <w:p w14:paraId="5F7A68D4" w14:textId="77777777" w:rsidR="003F3B19" w:rsidRPr="00730379" w:rsidRDefault="003F3B19" w:rsidP="003F3B19">
      <w:pPr>
        <w:numPr>
          <w:ilvl w:val="0"/>
          <w:numId w:val="34"/>
        </w:numPr>
        <w:rPr>
          <w:rFonts w:ascii="Aptos" w:hAnsi="Aptos"/>
          <w:color w:val="013844"/>
          <w:sz w:val="22"/>
          <w:szCs w:val="22"/>
        </w:rPr>
      </w:pPr>
      <w:r w:rsidRPr="00730379">
        <w:rPr>
          <w:rFonts w:ascii="Aptos" w:hAnsi="Aptos"/>
          <w:b/>
          <w:bCs/>
          <w:color w:val="013844"/>
          <w:sz w:val="22"/>
          <w:szCs w:val="22"/>
        </w:rPr>
        <w:t>Experience</w:t>
      </w:r>
      <w:r w:rsidRPr="00730379">
        <w:rPr>
          <w:rFonts w:ascii="Aptos" w:hAnsi="Aptos"/>
          <w:color w:val="013844"/>
          <w:sz w:val="22"/>
          <w:szCs w:val="22"/>
        </w:rPr>
        <w:t xml:space="preserve"> (patient and clinician)</w:t>
      </w:r>
    </w:p>
    <w:p w14:paraId="761475D6" w14:textId="77777777" w:rsidR="003F3B19" w:rsidRPr="00730379" w:rsidRDefault="003F3B19" w:rsidP="003F3B19">
      <w:pPr>
        <w:numPr>
          <w:ilvl w:val="0"/>
          <w:numId w:val="34"/>
        </w:numPr>
        <w:rPr>
          <w:rFonts w:ascii="Aptos" w:hAnsi="Aptos"/>
          <w:color w:val="013844"/>
          <w:sz w:val="22"/>
          <w:szCs w:val="22"/>
        </w:rPr>
      </w:pPr>
      <w:r w:rsidRPr="00730379">
        <w:rPr>
          <w:rFonts w:ascii="Aptos" w:hAnsi="Aptos"/>
          <w:b/>
          <w:bCs/>
          <w:color w:val="013844"/>
          <w:sz w:val="22"/>
          <w:szCs w:val="22"/>
        </w:rPr>
        <w:t>Reliability and operations</w:t>
      </w:r>
    </w:p>
    <w:p w14:paraId="09F9975E"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10.6 KPI set (site-friendly, practical and site-friendly)</w:t>
      </w:r>
    </w:p>
    <w:p w14:paraId="4730B81B"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Adoption and activity</w:t>
      </w:r>
    </w:p>
    <w:p w14:paraId="3313BE2C" w14:textId="77777777" w:rsidR="003F3B19" w:rsidRPr="00730379" w:rsidRDefault="003F3B19" w:rsidP="003F3B19">
      <w:pPr>
        <w:numPr>
          <w:ilvl w:val="0"/>
          <w:numId w:val="35"/>
        </w:numPr>
        <w:rPr>
          <w:rFonts w:ascii="Aptos" w:hAnsi="Aptos"/>
          <w:color w:val="013844"/>
          <w:sz w:val="22"/>
          <w:szCs w:val="22"/>
        </w:rPr>
      </w:pPr>
      <w:r w:rsidRPr="00730379">
        <w:rPr>
          <w:rFonts w:ascii="Aptos" w:hAnsi="Aptos"/>
          <w:color w:val="013844"/>
          <w:sz w:val="22"/>
          <w:szCs w:val="22"/>
        </w:rPr>
        <w:t>Number of virtual care sessions per week (by use case UC1–UC3)</w:t>
      </w:r>
    </w:p>
    <w:p w14:paraId="17737A13" w14:textId="77777777" w:rsidR="003F3B19" w:rsidRPr="00730379" w:rsidRDefault="003F3B19" w:rsidP="003F3B19">
      <w:pPr>
        <w:numPr>
          <w:ilvl w:val="0"/>
          <w:numId w:val="35"/>
        </w:numPr>
        <w:rPr>
          <w:rFonts w:ascii="Aptos" w:hAnsi="Aptos"/>
          <w:color w:val="013844"/>
          <w:sz w:val="22"/>
          <w:szCs w:val="22"/>
        </w:rPr>
      </w:pPr>
      <w:r w:rsidRPr="00730379">
        <w:rPr>
          <w:rFonts w:ascii="Aptos" w:hAnsi="Aptos"/>
          <w:color w:val="013844"/>
          <w:sz w:val="22"/>
          <w:szCs w:val="22"/>
        </w:rPr>
        <w:t>Active users per fortnight (clinical and admin)</w:t>
      </w:r>
    </w:p>
    <w:p w14:paraId="441EE772" w14:textId="77777777" w:rsidR="003F3B19" w:rsidRPr="00730379" w:rsidRDefault="003F3B19" w:rsidP="003F3B19">
      <w:pPr>
        <w:numPr>
          <w:ilvl w:val="0"/>
          <w:numId w:val="35"/>
        </w:numPr>
        <w:rPr>
          <w:rFonts w:ascii="Aptos" w:hAnsi="Aptos"/>
          <w:color w:val="013844"/>
          <w:sz w:val="22"/>
          <w:szCs w:val="22"/>
        </w:rPr>
      </w:pPr>
      <w:r w:rsidRPr="00730379">
        <w:rPr>
          <w:rFonts w:ascii="Aptos" w:hAnsi="Aptos"/>
          <w:color w:val="013844"/>
          <w:sz w:val="22"/>
          <w:szCs w:val="22"/>
        </w:rPr>
        <w:t>Sessions completed without support intervention</w:t>
      </w:r>
    </w:p>
    <w:p w14:paraId="70A1D142"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Safety and quality</w:t>
      </w:r>
    </w:p>
    <w:p w14:paraId="0AE5D0CF" w14:textId="77777777" w:rsidR="003F3B19" w:rsidRPr="00730379" w:rsidRDefault="003F3B19" w:rsidP="003F3B19">
      <w:pPr>
        <w:numPr>
          <w:ilvl w:val="0"/>
          <w:numId w:val="36"/>
        </w:numPr>
        <w:rPr>
          <w:rFonts w:ascii="Aptos" w:hAnsi="Aptos"/>
          <w:color w:val="013844"/>
          <w:sz w:val="22"/>
          <w:szCs w:val="22"/>
        </w:rPr>
      </w:pPr>
      <w:r w:rsidRPr="00730379">
        <w:rPr>
          <w:rFonts w:ascii="Aptos" w:hAnsi="Aptos"/>
          <w:color w:val="013844"/>
          <w:sz w:val="22"/>
          <w:szCs w:val="22"/>
        </w:rPr>
        <w:t>Escalations triggered (count, type, outcome)</w:t>
      </w:r>
    </w:p>
    <w:p w14:paraId="2D88442E" w14:textId="77777777" w:rsidR="003F3B19" w:rsidRPr="00730379" w:rsidRDefault="003F3B19" w:rsidP="003F3B19">
      <w:pPr>
        <w:numPr>
          <w:ilvl w:val="0"/>
          <w:numId w:val="36"/>
        </w:numPr>
        <w:rPr>
          <w:rFonts w:ascii="Aptos" w:hAnsi="Aptos"/>
          <w:color w:val="013844"/>
          <w:sz w:val="22"/>
          <w:szCs w:val="22"/>
        </w:rPr>
      </w:pPr>
      <w:r w:rsidRPr="00730379">
        <w:rPr>
          <w:rFonts w:ascii="Aptos" w:hAnsi="Aptos"/>
          <w:color w:val="013844"/>
          <w:sz w:val="22"/>
          <w:szCs w:val="22"/>
        </w:rPr>
        <w:t>Documentation compliance spot check (small sample)</w:t>
      </w:r>
    </w:p>
    <w:p w14:paraId="5FAC6E47" w14:textId="77777777" w:rsidR="003F3B19" w:rsidRPr="00730379" w:rsidRDefault="003F3B19" w:rsidP="003F3B19">
      <w:pPr>
        <w:numPr>
          <w:ilvl w:val="0"/>
          <w:numId w:val="36"/>
        </w:numPr>
        <w:rPr>
          <w:rFonts w:ascii="Aptos" w:hAnsi="Aptos"/>
          <w:color w:val="013844"/>
          <w:sz w:val="22"/>
          <w:szCs w:val="22"/>
        </w:rPr>
      </w:pPr>
      <w:r w:rsidRPr="00730379">
        <w:rPr>
          <w:rFonts w:ascii="Aptos" w:hAnsi="Aptos"/>
          <w:color w:val="013844"/>
          <w:sz w:val="22"/>
          <w:szCs w:val="22"/>
        </w:rPr>
        <w:t>Privacy incidents or near misses (count, resolved within agreed timeframe)</w:t>
      </w:r>
    </w:p>
    <w:p w14:paraId="750F8443"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Experience</w:t>
      </w:r>
    </w:p>
    <w:p w14:paraId="6F5202CF" w14:textId="77777777" w:rsidR="003F3B19" w:rsidRPr="00730379" w:rsidRDefault="003F3B19" w:rsidP="003F3B19">
      <w:pPr>
        <w:numPr>
          <w:ilvl w:val="0"/>
          <w:numId w:val="37"/>
        </w:numPr>
        <w:rPr>
          <w:rFonts w:ascii="Aptos" w:hAnsi="Aptos"/>
          <w:color w:val="013844"/>
          <w:sz w:val="22"/>
          <w:szCs w:val="22"/>
        </w:rPr>
      </w:pPr>
      <w:r w:rsidRPr="00730379">
        <w:rPr>
          <w:rFonts w:ascii="Aptos" w:hAnsi="Aptos"/>
          <w:color w:val="013844"/>
          <w:sz w:val="22"/>
          <w:szCs w:val="22"/>
        </w:rPr>
        <w:t>Patient experience pulse (1–2 questions, optional free text)</w:t>
      </w:r>
    </w:p>
    <w:p w14:paraId="3842C4CC" w14:textId="77777777" w:rsidR="003F3B19" w:rsidRPr="00730379" w:rsidRDefault="003F3B19" w:rsidP="003F3B19">
      <w:pPr>
        <w:numPr>
          <w:ilvl w:val="0"/>
          <w:numId w:val="37"/>
        </w:numPr>
        <w:rPr>
          <w:rFonts w:ascii="Aptos" w:hAnsi="Aptos"/>
          <w:color w:val="013844"/>
          <w:sz w:val="22"/>
          <w:szCs w:val="22"/>
        </w:rPr>
      </w:pPr>
      <w:r w:rsidRPr="00730379">
        <w:rPr>
          <w:rFonts w:ascii="Aptos" w:hAnsi="Aptos"/>
          <w:color w:val="013844"/>
          <w:sz w:val="22"/>
          <w:szCs w:val="22"/>
        </w:rPr>
        <w:t>Clinician confidence pulse (quick monthly)</w:t>
      </w:r>
    </w:p>
    <w:p w14:paraId="74849ADA"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Reliability</w:t>
      </w:r>
    </w:p>
    <w:p w14:paraId="1E3587BF" w14:textId="77777777" w:rsidR="003F3B19" w:rsidRPr="00730379" w:rsidRDefault="003F3B19" w:rsidP="003F3B19">
      <w:pPr>
        <w:numPr>
          <w:ilvl w:val="0"/>
          <w:numId w:val="38"/>
        </w:numPr>
        <w:rPr>
          <w:rFonts w:ascii="Aptos" w:hAnsi="Aptos"/>
          <w:color w:val="013844"/>
          <w:sz w:val="22"/>
          <w:szCs w:val="22"/>
        </w:rPr>
      </w:pPr>
      <w:r w:rsidRPr="00730379">
        <w:rPr>
          <w:rFonts w:ascii="Aptos" w:hAnsi="Aptos"/>
          <w:color w:val="013844"/>
          <w:sz w:val="22"/>
          <w:szCs w:val="22"/>
        </w:rPr>
        <w:t>Call success rate (completed as planned)</w:t>
      </w:r>
    </w:p>
    <w:p w14:paraId="06A56941" w14:textId="77777777" w:rsidR="003F3B19" w:rsidRPr="00730379" w:rsidRDefault="003F3B19" w:rsidP="003F3B19">
      <w:pPr>
        <w:numPr>
          <w:ilvl w:val="0"/>
          <w:numId w:val="38"/>
        </w:numPr>
        <w:rPr>
          <w:rFonts w:ascii="Aptos" w:hAnsi="Aptos"/>
          <w:color w:val="013844"/>
          <w:sz w:val="22"/>
          <w:szCs w:val="22"/>
        </w:rPr>
      </w:pPr>
      <w:r w:rsidRPr="00730379">
        <w:rPr>
          <w:rFonts w:ascii="Aptos" w:hAnsi="Aptos"/>
          <w:color w:val="013844"/>
          <w:sz w:val="22"/>
          <w:szCs w:val="22"/>
        </w:rPr>
        <w:t>Primary failure reason (connectivity, device, workflow, user error)</w:t>
      </w:r>
    </w:p>
    <w:p w14:paraId="12C3A54D" w14:textId="77777777" w:rsidR="003F3B19" w:rsidRPr="00730379" w:rsidRDefault="003F3B19" w:rsidP="003F3B19">
      <w:pPr>
        <w:numPr>
          <w:ilvl w:val="0"/>
          <w:numId w:val="38"/>
        </w:numPr>
        <w:rPr>
          <w:rFonts w:ascii="Aptos" w:hAnsi="Aptos"/>
          <w:color w:val="013844"/>
          <w:sz w:val="22"/>
          <w:szCs w:val="22"/>
        </w:rPr>
      </w:pPr>
      <w:r w:rsidRPr="00730379">
        <w:rPr>
          <w:rFonts w:ascii="Aptos" w:hAnsi="Aptos"/>
          <w:color w:val="013844"/>
          <w:sz w:val="22"/>
          <w:szCs w:val="22"/>
        </w:rPr>
        <w:t>Mean time to resolve recurring issues</w:t>
      </w:r>
    </w:p>
    <w:p w14:paraId="76A947C5"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This aligns with the broader Australian direction that virtual care should be governed with safety and quality </w:t>
      </w:r>
      <w:proofErr w:type="gramStart"/>
      <w:r w:rsidRPr="00730379">
        <w:rPr>
          <w:rFonts w:ascii="Aptos" w:hAnsi="Aptos"/>
          <w:color w:val="013844"/>
          <w:sz w:val="22"/>
          <w:szCs w:val="22"/>
        </w:rPr>
        <w:t>monitoring, and</w:t>
      </w:r>
      <w:proofErr w:type="gramEnd"/>
      <w:r w:rsidRPr="00730379">
        <w:rPr>
          <w:rFonts w:ascii="Aptos" w:hAnsi="Aptos"/>
          <w:color w:val="013844"/>
          <w:sz w:val="22"/>
          <w:szCs w:val="22"/>
        </w:rPr>
        <w:t xml:space="preserve"> continuously improved through review cycles. </w:t>
      </w:r>
    </w:p>
    <w:p w14:paraId="573357BC"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10.7 Monthly BAU review pack (template)</w:t>
      </w:r>
    </w:p>
    <w:p w14:paraId="67B9BB35"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Keep this to one page plus an issues appendix.</w:t>
      </w:r>
    </w:p>
    <w:p w14:paraId="5B4FE061"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Monthly Virtual Care Review Pack (one page)</w:t>
      </w:r>
      <w:r w:rsidRPr="00730379">
        <w:rPr>
          <w:rFonts w:ascii="Aptos" w:hAnsi="Aptos"/>
          <w:color w:val="013844"/>
          <w:sz w:val="22"/>
          <w:szCs w:val="22"/>
        </w:rPr>
        <w:br/>
        <w:t xml:space="preserve">Organisation/Site: </w:t>
      </w:r>
      <w:proofErr w:type="gramStart"/>
      <w:r w:rsidRPr="00730379">
        <w:rPr>
          <w:rFonts w:ascii="Aptos" w:hAnsi="Aptos"/>
          <w:color w:val="013844"/>
          <w:sz w:val="22"/>
          <w:szCs w:val="22"/>
        </w:rPr>
        <w:t>[ ]</w:t>
      </w:r>
      <w:proofErr w:type="gramEnd"/>
      <w:r w:rsidRPr="00730379">
        <w:rPr>
          <w:rFonts w:ascii="Aptos" w:hAnsi="Aptos"/>
          <w:color w:val="013844"/>
          <w:sz w:val="22"/>
          <w:szCs w:val="22"/>
        </w:rPr>
        <w:t xml:space="preserve"> Month: </w:t>
      </w:r>
      <w:proofErr w:type="gramStart"/>
      <w:r w:rsidRPr="00730379">
        <w:rPr>
          <w:rFonts w:ascii="Aptos" w:hAnsi="Aptos"/>
          <w:color w:val="013844"/>
          <w:sz w:val="22"/>
          <w:szCs w:val="22"/>
        </w:rPr>
        <w:t>[ ]</w:t>
      </w:r>
      <w:proofErr w:type="gramEnd"/>
      <w:r w:rsidRPr="00730379">
        <w:rPr>
          <w:rFonts w:ascii="Aptos" w:hAnsi="Aptos"/>
          <w:color w:val="013844"/>
          <w:sz w:val="22"/>
          <w:szCs w:val="22"/>
        </w:rPr>
        <w:t xml:space="preserve"> Owner: </w:t>
      </w:r>
      <w:proofErr w:type="gramStart"/>
      <w:r w:rsidRPr="00730379">
        <w:rPr>
          <w:rFonts w:ascii="Aptos" w:hAnsi="Aptos"/>
          <w:color w:val="013844"/>
          <w:sz w:val="22"/>
          <w:szCs w:val="22"/>
        </w:rPr>
        <w:t>[ ]</w:t>
      </w:r>
      <w:proofErr w:type="gramEnd"/>
    </w:p>
    <w:p w14:paraId="225FDA4F"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1) Activity</w:t>
      </w:r>
    </w:p>
    <w:p w14:paraId="5246BFD8" w14:textId="77777777" w:rsidR="003F3B19" w:rsidRPr="00730379" w:rsidRDefault="003F3B19" w:rsidP="003F3B19">
      <w:pPr>
        <w:numPr>
          <w:ilvl w:val="0"/>
          <w:numId w:val="39"/>
        </w:numPr>
        <w:rPr>
          <w:rFonts w:ascii="Aptos" w:hAnsi="Aptos"/>
          <w:color w:val="013844"/>
          <w:sz w:val="22"/>
          <w:szCs w:val="22"/>
        </w:rPr>
      </w:pPr>
      <w:r w:rsidRPr="00730379">
        <w:rPr>
          <w:rFonts w:ascii="Aptos" w:hAnsi="Aptos"/>
          <w:color w:val="013844"/>
          <w:sz w:val="22"/>
          <w:szCs w:val="22"/>
        </w:rPr>
        <w:lastRenderedPageBreak/>
        <w:t xml:space="preserve">Total sessions: </w:t>
      </w:r>
      <w:proofErr w:type="gramStart"/>
      <w:r w:rsidRPr="00730379">
        <w:rPr>
          <w:rFonts w:ascii="Aptos" w:hAnsi="Aptos"/>
          <w:color w:val="013844"/>
          <w:sz w:val="22"/>
          <w:szCs w:val="22"/>
        </w:rPr>
        <w:t>[ ]</w:t>
      </w:r>
      <w:proofErr w:type="gramEnd"/>
    </w:p>
    <w:p w14:paraId="7F3AB5AE" w14:textId="77777777" w:rsidR="003F3B19" w:rsidRPr="00730379" w:rsidRDefault="003F3B19" w:rsidP="003F3B19">
      <w:pPr>
        <w:numPr>
          <w:ilvl w:val="0"/>
          <w:numId w:val="39"/>
        </w:numPr>
        <w:rPr>
          <w:rFonts w:ascii="Aptos" w:hAnsi="Aptos"/>
          <w:color w:val="013844"/>
          <w:sz w:val="22"/>
          <w:szCs w:val="22"/>
        </w:rPr>
      </w:pPr>
      <w:r w:rsidRPr="00730379">
        <w:rPr>
          <w:rFonts w:ascii="Aptos" w:hAnsi="Aptos"/>
          <w:color w:val="013844"/>
          <w:sz w:val="22"/>
          <w:szCs w:val="22"/>
        </w:rPr>
        <w:t xml:space="preserve">By use case: UC1 </w:t>
      </w:r>
      <w:proofErr w:type="gramStart"/>
      <w:r w:rsidRPr="00730379">
        <w:rPr>
          <w:rFonts w:ascii="Aptos" w:hAnsi="Aptos"/>
          <w:color w:val="013844"/>
          <w:sz w:val="22"/>
          <w:szCs w:val="22"/>
        </w:rPr>
        <w:t>[ ]</w:t>
      </w:r>
      <w:proofErr w:type="gramEnd"/>
      <w:r w:rsidRPr="00730379">
        <w:rPr>
          <w:rFonts w:ascii="Aptos" w:hAnsi="Aptos"/>
          <w:color w:val="013844"/>
          <w:sz w:val="22"/>
          <w:szCs w:val="22"/>
        </w:rPr>
        <w:t xml:space="preserve">, UC2 </w:t>
      </w:r>
      <w:proofErr w:type="gramStart"/>
      <w:r w:rsidRPr="00730379">
        <w:rPr>
          <w:rFonts w:ascii="Aptos" w:hAnsi="Aptos"/>
          <w:color w:val="013844"/>
          <w:sz w:val="22"/>
          <w:szCs w:val="22"/>
        </w:rPr>
        <w:t>[ ]</w:t>
      </w:r>
      <w:proofErr w:type="gramEnd"/>
      <w:r w:rsidRPr="00730379">
        <w:rPr>
          <w:rFonts w:ascii="Aptos" w:hAnsi="Aptos"/>
          <w:color w:val="013844"/>
          <w:sz w:val="22"/>
          <w:szCs w:val="22"/>
        </w:rPr>
        <w:t xml:space="preserve">, UC3 </w:t>
      </w:r>
      <w:proofErr w:type="gramStart"/>
      <w:r w:rsidRPr="00730379">
        <w:rPr>
          <w:rFonts w:ascii="Aptos" w:hAnsi="Aptos"/>
          <w:color w:val="013844"/>
          <w:sz w:val="22"/>
          <w:szCs w:val="22"/>
        </w:rPr>
        <w:t>[ ]</w:t>
      </w:r>
      <w:proofErr w:type="gramEnd"/>
    </w:p>
    <w:p w14:paraId="0A58C9DA" w14:textId="77777777" w:rsidR="003F3B19" w:rsidRPr="00730379" w:rsidRDefault="003F3B19" w:rsidP="003F3B19">
      <w:pPr>
        <w:numPr>
          <w:ilvl w:val="0"/>
          <w:numId w:val="39"/>
        </w:numPr>
        <w:rPr>
          <w:rFonts w:ascii="Aptos" w:hAnsi="Aptos"/>
          <w:color w:val="013844"/>
          <w:sz w:val="22"/>
          <w:szCs w:val="22"/>
        </w:rPr>
      </w:pPr>
      <w:r w:rsidRPr="00730379">
        <w:rPr>
          <w:rFonts w:ascii="Aptos" w:hAnsi="Aptos"/>
          <w:color w:val="013844"/>
          <w:sz w:val="22"/>
          <w:szCs w:val="22"/>
        </w:rPr>
        <w:t xml:space="preserve">Top 3 clinicians/teams using: </w:t>
      </w:r>
      <w:proofErr w:type="gramStart"/>
      <w:r w:rsidRPr="00730379">
        <w:rPr>
          <w:rFonts w:ascii="Aptos" w:hAnsi="Aptos"/>
          <w:color w:val="013844"/>
          <w:sz w:val="22"/>
          <w:szCs w:val="22"/>
        </w:rPr>
        <w:t>[ ]</w:t>
      </w:r>
      <w:proofErr w:type="gramEnd"/>
    </w:p>
    <w:p w14:paraId="0B446A91"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2) Safety and quality</w:t>
      </w:r>
    </w:p>
    <w:p w14:paraId="5AB90342" w14:textId="77777777" w:rsidR="003F3B19" w:rsidRPr="00730379" w:rsidRDefault="003F3B19" w:rsidP="003F3B19">
      <w:pPr>
        <w:numPr>
          <w:ilvl w:val="0"/>
          <w:numId w:val="40"/>
        </w:numPr>
        <w:rPr>
          <w:rFonts w:ascii="Aptos" w:hAnsi="Aptos"/>
          <w:color w:val="013844"/>
          <w:sz w:val="22"/>
          <w:szCs w:val="22"/>
        </w:rPr>
      </w:pPr>
      <w:r w:rsidRPr="00730379">
        <w:rPr>
          <w:rFonts w:ascii="Aptos" w:hAnsi="Aptos"/>
          <w:color w:val="013844"/>
          <w:sz w:val="22"/>
          <w:szCs w:val="22"/>
        </w:rPr>
        <w:t xml:space="preserve">Escalations: </w:t>
      </w:r>
      <w:proofErr w:type="gramStart"/>
      <w:r w:rsidRPr="00730379">
        <w:rPr>
          <w:rFonts w:ascii="Aptos" w:hAnsi="Aptos"/>
          <w:color w:val="013844"/>
          <w:sz w:val="22"/>
          <w:szCs w:val="22"/>
        </w:rPr>
        <w:t>[ ]</w:t>
      </w:r>
      <w:proofErr w:type="gramEnd"/>
      <w:r w:rsidRPr="00730379">
        <w:rPr>
          <w:rFonts w:ascii="Aptos" w:hAnsi="Aptos"/>
          <w:color w:val="013844"/>
          <w:sz w:val="22"/>
          <w:szCs w:val="22"/>
        </w:rPr>
        <w:t xml:space="preserve"> (</w:t>
      </w:r>
      <w:proofErr w:type="gramStart"/>
      <w:r w:rsidRPr="00730379">
        <w:rPr>
          <w:rFonts w:ascii="Aptos" w:hAnsi="Aptos"/>
          <w:color w:val="013844"/>
          <w:sz w:val="22"/>
          <w:szCs w:val="22"/>
        </w:rPr>
        <w:t>brief summary</w:t>
      </w:r>
      <w:proofErr w:type="gramEnd"/>
      <w:r w:rsidRPr="00730379">
        <w:rPr>
          <w:rFonts w:ascii="Aptos" w:hAnsi="Aptos"/>
          <w:color w:val="013844"/>
          <w:sz w:val="22"/>
          <w:szCs w:val="22"/>
        </w:rPr>
        <w:t xml:space="preserve"> of any trends)</w:t>
      </w:r>
    </w:p>
    <w:p w14:paraId="06BED8DE" w14:textId="77777777" w:rsidR="003F3B19" w:rsidRPr="00730379" w:rsidRDefault="003F3B19" w:rsidP="003F3B19">
      <w:pPr>
        <w:numPr>
          <w:ilvl w:val="0"/>
          <w:numId w:val="40"/>
        </w:numPr>
        <w:rPr>
          <w:rFonts w:ascii="Aptos" w:hAnsi="Aptos"/>
          <w:color w:val="013844"/>
          <w:sz w:val="22"/>
          <w:szCs w:val="22"/>
        </w:rPr>
      </w:pPr>
      <w:r w:rsidRPr="00730379">
        <w:rPr>
          <w:rFonts w:ascii="Aptos" w:hAnsi="Aptos"/>
          <w:color w:val="013844"/>
          <w:sz w:val="22"/>
          <w:szCs w:val="22"/>
        </w:rPr>
        <w:t>Documentation spot check: [pass/fail, notes]</w:t>
      </w:r>
    </w:p>
    <w:p w14:paraId="6292609D" w14:textId="77777777" w:rsidR="003F3B19" w:rsidRPr="00730379" w:rsidRDefault="003F3B19" w:rsidP="003F3B19">
      <w:pPr>
        <w:numPr>
          <w:ilvl w:val="0"/>
          <w:numId w:val="40"/>
        </w:numPr>
        <w:rPr>
          <w:rFonts w:ascii="Aptos" w:hAnsi="Aptos"/>
          <w:color w:val="013844"/>
          <w:sz w:val="22"/>
          <w:szCs w:val="22"/>
        </w:rPr>
      </w:pPr>
      <w:r w:rsidRPr="00730379">
        <w:rPr>
          <w:rFonts w:ascii="Aptos" w:hAnsi="Aptos"/>
          <w:color w:val="013844"/>
          <w:sz w:val="22"/>
          <w:szCs w:val="22"/>
        </w:rPr>
        <w:t xml:space="preserve">Privacy incidents/near misses: </w:t>
      </w:r>
      <w:proofErr w:type="gramStart"/>
      <w:r w:rsidRPr="00730379">
        <w:rPr>
          <w:rFonts w:ascii="Aptos" w:hAnsi="Aptos"/>
          <w:color w:val="013844"/>
          <w:sz w:val="22"/>
          <w:szCs w:val="22"/>
        </w:rPr>
        <w:t>[ ]</w:t>
      </w:r>
      <w:proofErr w:type="gramEnd"/>
      <w:r w:rsidRPr="00730379">
        <w:rPr>
          <w:rFonts w:ascii="Aptos" w:hAnsi="Aptos"/>
          <w:color w:val="013844"/>
          <w:sz w:val="22"/>
          <w:szCs w:val="22"/>
        </w:rPr>
        <w:t xml:space="preserve"> (actions closed: [Y/N])</w:t>
      </w:r>
    </w:p>
    <w:p w14:paraId="24914812"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3) Experience</w:t>
      </w:r>
    </w:p>
    <w:p w14:paraId="748696A1" w14:textId="77777777" w:rsidR="003F3B19" w:rsidRPr="00730379" w:rsidRDefault="003F3B19" w:rsidP="003F3B19">
      <w:pPr>
        <w:numPr>
          <w:ilvl w:val="0"/>
          <w:numId w:val="41"/>
        </w:numPr>
        <w:rPr>
          <w:rFonts w:ascii="Aptos" w:hAnsi="Aptos"/>
          <w:color w:val="013844"/>
          <w:sz w:val="22"/>
          <w:szCs w:val="22"/>
        </w:rPr>
      </w:pPr>
      <w:r w:rsidRPr="00730379">
        <w:rPr>
          <w:rFonts w:ascii="Aptos" w:hAnsi="Aptos"/>
          <w:color w:val="013844"/>
          <w:sz w:val="22"/>
          <w:szCs w:val="22"/>
        </w:rPr>
        <w:t>Patient pulse: [score/summary]</w:t>
      </w:r>
    </w:p>
    <w:p w14:paraId="6A4D9240" w14:textId="77777777" w:rsidR="003F3B19" w:rsidRPr="00730379" w:rsidRDefault="003F3B19" w:rsidP="003F3B19">
      <w:pPr>
        <w:numPr>
          <w:ilvl w:val="0"/>
          <w:numId w:val="41"/>
        </w:numPr>
        <w:rPr>
          <w:rFonts w:ascii="Aptos" w:hAnsi="Aptos"/>
          <w:color w:val="013844"/>
          <w:sz w:val="22"/>
          <w:szCs w:val="22"/>
        </w:rPr>
      </w:pPr>
      <w:r w:rsidRPr="00730379">
        <w:rPr>
          <w:rFonts w:ascii="Aptos" w:hAnsi="Aptos"/>
          <w:color w:val="013844"/>
          <w:sz w:val="22"/>
          <w:szCs w:val="22"/>
        </w:rPr>
        <w:t>Staff pulse: [score/summary]</w:t>
      </w:r>
    </w:p>
    <w:p w14:paraId="3CF09384"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4) Reliability</w:t>
      </w:r>
    </w:p>
    <w:p w14:paraId="745808DD" w14:textId="77777777" w:rsidR="003F3B19" w:rsidRPr="00730379" w:rsidRDefault="003F3B19" w:rsidP="003F3B19">
      <w:pPr>
        <w:numPr>
          <w:ilvl w:val="0"/>
          <w:numId w:val="42"/>
        </w:numPr>
        <w:rPr>
          <w:rFonts w:ascii="Aptos" w:hAnsi="Aptos"/>
          <w:color w:val="013844"/>
          <w:sz w:val="22"/>
          <w:szCs w:val="22"/>
        </w:rPr>
      </w:pPr>
      <w:r w:rsidRPr="00730379">
        <w:rPr>
          <w:rFonts w:ascii="Aptos" w:hAnsi="Aptos"/>
          <w:color w:val="013844"/>
          <w:sz w:val="22"/>
          <w:szCs w:val="22"/>
        </w:rPr>
        <w:t xml:space="preserve">Call success rate: </w:t>
      </w:r>
      <w:proofErr w:type="gramStart"/>
      <w:r w:rsidRPr="00730379">
        <w:rPr>
          <w:rFonts w:ascii="Aptos" w:hAnsi="Aptos"/>
          <w:color w:val="013844"/>
          <w:sz w:val="22"/>
          <w:szCs w:val="22"/>
        </w:rPr>
        <w:t>[ ]</w:t>
      </w:r>
      <w:proofErr w:type="gramEnd"/>
    </w:p>
    <w:p w14:paraId="70590549" w14:textId="77777777" w:rsidR="003F3B19" w:rsidRPr="00730379" w:rsidRDefault="003F3B19" w:rsidP="003F3B19">
      <w:pPr>
        <w:numPr>
          <w:ilvl w:val="0"/>
          <w:numId w:val="42"/>
        </w:numPr>
        <w:rPr>
          <w:rFonts w:ascii="Aptos" w:hAnsi="Aptos"/>
          <w:color w:val="013844"/>
          <w:sz w:val="22"/>
          <w:szCs w:val="22"/>
        </w:rPr>
      </w:pPr>
      <w:r w:rsidRPr="00730379">
        <w:rPr>
          <w:rFonts w:ascii="Aptos" w:hAnsi="Aptos"/>
          <w:color w:val="013844"/>
          <w:sz w:val="22"/>
          <w:szCs w:val="22"/>
        </w:rPr>
        <w:t xml:space="preserve">Main failure reasons: </w:t>
      </w:r>
      <w:proofErr w:type="gramStart"/>
      <w:r w:rsidRPr="00730379">
        <w:rPr>
          <w:rFonts w:ascii="Aptos" w:hAnsi="Aptos"/>
          <w:color w:val="013844"/>
          <w:sz w:val="22"/>
          <w:szCs w:val="22"/>
        </w:rPr>
        <w:t>[ ]</w:t>
      </w:r>
      <w:proofErr w:type="gramEnd"/>
    </w:p>
    <w:p w14:paraId="222CBD3A" w14:textId="77777777" w:rsidR="003F3B19" w:rsidRPr="00730379" w:rsidRDefault="003F3B19" w:rsidP="003F3B19">
      <w:pPr>
        <w:numPr>
          <w:ilvl w:val="0"/>
          <w:numId w:val="42"/>
        </w:numPr>
        <w:rPr>
          <w:rFonts w:ascii="Aptos" w:hAnsi="Aptos"/>
          <w:color w:val="013844"/>
          <w:sz w:val="22"/>
          <w:szCs w:val="22"/>
        </w:rPr>
      </w:pPr>
      <w:r w:rsidRPr="00730379">
        <w:rPr>
          <w:rFonts w:ascii="Aptos" w:hAnsi="Aptos"/>
          <w:color w:val="013844"/>
          <w:sz w:val="22"/>
          <w:szCs w:val="22"/>
        </w:rPr>
        <w:t xml:space="preserve">Fixes implemented this month: </w:t>
      </w:r>
      <w:proofErr w:type="gramStart"/>
      <w:r w:rsidRPr="00730379">
        <w:rPr>
          <w:rFonts w:ascii="Aptos" w:hAnsi="Aptos"/>
          <w:color w:val="013844"/>
          <w:sz w:val="22"/>
          <w:szCs w:val="22"/>
        </w:rPr>
        <w:t>[ ]</w:t>
      </w:r>
      <w:proofErr w:type="gramEnd"/>
    </w:p>
    <w:p w14:paraId="29642FB7"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5) Decisions and actions</w:t>
      </w:r>
    </w:p>
    <w:p w14:paraId="03874A90" w14:textId="77777777" w:rsidR="003F3B19" w:rsidRPr="00730379" w:rsidRDefault="003F3B19" w:rsidP="003F3B19">
      <w:pPr>
        <w:numPr>
          <w:ilvl w:val="0"/>
          <w:numId w:val="43"/>
        </w:numPr>
        <w:rPr>
          <w:rFonts w:ascii="Aptos" w:hAnsi="Aptos"/>
          <w:color w:val="013844"/>
          <w:sz w:val="22"/>
          <w:szCs w:val="22"/>
        </w:rPr>
      </w:pPr>
      <w:r w:rsidRPr="00730379">
        <w:rPr>
          <w:rFonts w:ascii="Aptos" w:hAnsi="Aptos"/>
          <w:color w:val="013844"/>
          <w:sz w:val="22"/>
          <w:szCs w:val="22"/>
        </w:rPr>
        <w:t xml:space="preserve">Decision required: </w:t>
      </w:r>
      <w:proofErr w:type="gramStart"/>
      <w:r w:rsidRPr="00730379">
        <w:rPr>
          <w:rFonts w:ascii="Aptos" w:hAnsi="Aptos"/>
          <w:color w:val="013844"/>
          <w:sz w:val="22"/>
          <w:szCs w:val="22"/>
        </w:rPr>
        <w:t>[ ]</w:t>
      </w:r>
      <w:proofErr w:type="gramEnd"/>
    </w:p>
    <w:p w14:paraId="784429EF" w14:textId="77777777" w:rsidR="003F3B19" w:rsidRPr="00730379" w:rsidRDefault="003F3B19" w:rsidP="003F3B19">
      <w:pPr>
        <w:numPr>
          <w:ilvl w:val="0"/>
          <w:numId w:val="43"/>
        </w:numPr>
        <w:rPr>
          <w:rFonts w:ascii="Aptos" w:hAnsi="Aptos"/>
          <w:color w:val="013844"/>
          <w:sz w:val="22"/>
          <w:szCs w:val="22"/>
        </w:rPr>
      </w:pPr>
      <w:r w:rsidRPr="00730379">
        <w:rPr>
          <w:rFonts w:ascii="Aptos" w:hAnsi="Aptos"/>
          <w:color w:val="013844"/>
          <w:sz w:val="22"/>
          <w:szCs w:val="22"/>
        </w:rPr>
        <w:t xml:space="preserve">Actions (owner, due date): </w:t>
      </w:r>
      <w:proofErr w:type="gramStart"/>
      <w:r w:rsidRPr="00730379">
        <w:rPr>
          <w:rFonts w:ascii="Aptos" w:hAnsi="Aptos"/>
          <w:color w:val="013844"/>
          <w:sz w:val="22"/>
          <w:szCs w:val="22"/>
        </w:rPr>
        <w:t>[ ]</w:t>
      </w:r>
      <w:proofErr w:type="gramEnd"/>
    </w:p>
    <w:p w14:paraId="6A09BBCB"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Monitoring and evaluation as an ongoing BAU practice is a core NSW ACI principle for virtual care services. </w:t>
      </w:r>
    </w:p>
    <w:p w14:paraId="12765243"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10.8 30-day review template (post go-live)</w:t>
      </w:r>
    </w:p>
    <w:p w14:paraId="603E7CF3"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Purpose: stabilise adoption and resolve workflow friction.</w:t>
      </w:r>
    </w:p>
    <w:p w14:paraId="584C6159"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Inputs</w:t>
      </w:r>
    </w:p>
    <w:p w14:paraId="053F82D4" w14:textId="77777777" w:rsidR="003F3B19" w:rsidRPr="00730379" w:rsidRDefault="003F3B19" w:rsidP="003F3B19">
      <w:pPr>
        <w:numPr>
          <w:ilvl w:val="0"/>
          <w:numId w:val="44"/>
        </w:numPr>
        <w:rPr>
          <w:rFonts w:ascii="Aptos" w:hAnsi="Aptos"/>
          <w:color w:val="013844"/>
          <w:sz w:val="22"/>
          <w:szCs w:val="22"/>
        </w:rPr>
      </w:pPr>
      <w:r w:rsidRPr="00730379">
        <w:rPr>
          <w:rFonts w:ascii="Aptos" w:hAnsi="Aptos"/>
          <w:color w:val="013844"/>
          <w:sz w:val="22"/>
          <w:szCs w:val="22"/>
        </w:rPr>
        <w:t>Activity baseline (first month)</w:t>
      </w:r>
    </w:p>
    <w:p w14:paraId="708ABD47" w14:textId="77777777" w:rsidR="003F3B19" w:rsidRPr="00730379" w:rsidRDefault="003F3B19" w:rsidP="003F3B19">
      <w:pPr>
        <w:numPr>
          <w:ilvl w:val="0"/>
          <w:numId w:val="44"/>
        </w:numPr>
        <w:rPr>
          <w:rFonts w:ascii="Aptos" w:hAnsi="Aptos"/>
          <w:color w:val="013844"/>
          <w:sz w:val="22"/>
          <w:szCs w:val="22"/>
        </w:rPr>
      </w:pPr>
      <w:r w:rsidRPr="00730379">
        <w:rPr>
          <w:rFonts w:ascii="Aptos" w:hAnsi="Aptos"/>
          <w:color w:val="013844"/>
          <w:sz w:val="22"/>
          <w:szCs w:val="22"/>
        </w:rPr>
        <w:t>Issues log summary</w:t>
      </w:r>
    </w:p>
    <w:p w14:paraId="158C4AD3" w14:textId="77777777" w:rsidR="003F3B19" w:rsidRPr="00730379" w:rsidRDefault="003F3B19" w:rsidP="003F3B19">
      <w:pPr>
        <w:numPr>
          <w:ilvl w:val="0"/>
          <w:numId w:val="44"/>
        </w:numPr>
        <w:rPr>
          <w:rFonts w:ascii="Aptos" w:hAnsi="Aptos"/>
          <w:color w:val="013844"/>
          <w:sz w:val="22"/>
          <w:szCs w:val="22"/>
        </w:rPr>
      </w:pPr>
      <w:r w:rsidRPr="00730379">
        <w:rPr>
          <w:rFonts w:ascii="Aptos" w:hAnsi="Aptos"/>
          <w:color w:val="013844"/>
          <w:sz w:val="22"/>
          <w:szCs w:val="22"/>
        </w:rPr>
        <w:t>Any safety events or near misses</w:t>
      </w:r>
    </w:p>
    <w:p w14:paraId="421F4836" w14:textId="77777777" w:rsidR="003F3B19" w:rsidRPr="00730379" w:rsidRDefault="003F3B19" w:rsidP="003F3B19">
      <w:pPr>
        <w:numPr>
          <w:ilvl w:val="0"/>
          <w:numId w:val="44"/>
        </w:numPr>
        <w:rPr>
          <w:rFonts w:ascii="Aptos" w:hAnsi="Aptos"/>
          <w:color w:val="013844"/>
          <w:sz w:val="22"/>
          <w:szCs w:val="22"/>
        </w:rPr>
      </w:pPr>
      <w:r w:rsidRPr="00730379">
        <w:rPr>
          <w:rFonts w:ascii="Aptos" w:hAnsi="Aptos"/>
          <w:color w:val="013844"/>
          <w:sz w:val="22"/>
          <w:szCs w:val="22"/>
        </w:rPr>
        <w:t>Staff confidence feedback</w:t>
      </w:r>
    </w:p>
    <w:p w14:paraId="45220500"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lastRenderedPageBreak/>
        <w:t>Outputs</w:t>
      </w:r>
    </w:p>
    <w:p w14:paraId="4526B27B" w14:textId="77777777" w:rsidR="003F3B19" w:rsidRPr="00730379" w:rsidRDefault="003F3B19" w:rsidP="003F3B19">
      <w:pPr>
        <w:numPr>
          <w:ilvl w:val="0"/>
          <w:numId w:val="45"/>
        </w:numPr>
        <w:rPr>
          <w:rFonts w:ascii="Aptos" w:hAnsi="Aptos"/>
          <w:color w:val="013844"/>
          <w:sz w:val="22"/>
          <w:szCs w:val="22"/>
        </w:rPr>
      </w:pPr>
      <w:r w:rsidRPr="00730379">
        <w:rPr>
          <w:rFonts w:ascii="Aptos" w:hAnsi="Aptos"/>
          <w:color w:val="013844"/>
          <w:sz w:val="22"/>
          <w:szCs w:val="22"/>
        </w:rPr>
        <w:t>Updated “known issues and workarounds”</w:t>
      </w:r>
    </w:p>
    <w:p w14:paraId="7899FE95" w14:textId="77777777" w:rsidR="003F3B19" w:rsidRPr="00730379" w:rsidRDefault="003F3B19" w:rsidP="003F3B19">
      <w:pPr>
        <w:numPr>
          <w:ilvl w:val="0"/>
          <w:numId w:val="45"/>
        </w:numPr>
        <w:rPr>
          <w:rFonts w:ascii="Aptos" w:hAnsi="Aptos"/>
          <w:color w:val="013844"/>
          <w:sz w:val="22"/>
          <w:szCs w:val="22"/>
        </w:rPr>
      </w:pPr>
      <w:r w:rsidRPr="00730379">
        <w:rPr>
          <w:rFonts w:ascii="Aptos" w:hAnsi="Aptos"/>
          <w:color w:val="013844"/>
          <w:sz w:val="22"/>
          <w:szCs w:val="22"/>
        </w:rPr>
        <w:t>Training top-ups scheduled (targeted, short)</w:t>
      </w:r>
    </w:p>
    <w:p w14:paraId="46C89B88" w14:textId="77777777" w:rsidR="003F3B19" w:rsidRPr="00730379" w:rsidRDefault="003F3B19" w:rsidP="003F3B19">
      <w:pPr>
        <w:numPr>
          <w:ilvl w:val="0"/>
          <w:numId w:val="45"/>
        </w:numPr>
        <w:rPr>
          <w:rFonts w:ascii="Aptos" w:hAnsi="Aptos"/>
          <w:color w:val="013844"/>
          <w:sz w:val="22"/>
          <w:szCs w:val="22"/>
        </w:rPr>
      </w:pPr>
      <w:r w:rsidRPr="00730379">
        <w:rPr>
          <w:rFonts w:ascii="Aptos" w:hAnsi="Aptos"/>
          <w:color w:val="013844"/>
          <w:sz w:val="22"/>
          <w:szCs w:val="22"/>
        </w:rPr>
        <w:t>One workflow improvement per use case (UC1–UC3)</w:t>
      </w:r>
    </w:p>
    <w:p w14:paraId="19037E8F" w14:textId="77777777" w:rsidR="003F3B19" w:rsidRPr="00730379" w:rsidRDefault="003F3B19" w:rsidP="003F3B19">
      <w:pPr>
        <w:numPr>
          <w:ilvl w:val="0"/>
          <w:numId w:val="45"/>
        </w:numPr>
        <w:rPr>
          <w:rFonts w:ascii="Aptos" w:hAnsi="Aptos"/>
          <w:color w:val="013844"/>
          <w:sz w:val="22"/>
          <w:szCs w:val="22"/>
        </w:rPr>
      </w:pPr>
      <w:r w:rsidRPr="00730379">
        <w:rPr>
          <w:rFonts w:ascii="Aptos" w:hAnsi="Aptos"/>
          <w:color w:val="013844"/>
          <w:sz w:val="22"/>
          <w:szCs w:val="22"/>
        </w:rPr>
        <w:t>Confirm BAU owner is active and meeting cadence is working</w:t>
      </w:r>
    </w:p>
    <w:p w14:paraId="361AF8BC"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This matches the NSW approach that virtual care should be monitored and improved continuously after implementation. </w:t>
      </w:r>
    </w:p>
    <w:p w14:paraId="43C51465"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10.9 90-day optimisation review template</w:t>
      </w:r>
    </w:p>
    <w:p w14:paraId="7AAC4732"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Purpose: move from stabilisation to benefits realisation and expansion.</w:t>
      </w:r>
    </w:p>
    <w:p w14:paraId="3E344792"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Review topics</w:t>
      </w:r>
    </w:p>
    <w:p w14:paraId="76AA6FFF" w14:textId="77777777" w:rsidR="003F3B19" w:rsidRPr="00730379" w:rsidRDefault="003F3B19" w:rsidP="003F3B19">
      <w:pPr>
        <w:numPr>
          <w:ilvl w:val="0"/>
          <w:numId w:val="46"/>
        </w:numPr>
        <w:rPr>
          <w:rFonts w:ascii="Aptos" w:hAnsi="Aptos"/>
          <w:color w:val="013844"/>
          <w:sz w:val="22"/>
          <w:szCs w:val="22"/>
        </w:rPr>
      </w:pPr>
      <w:r w:rsidRPr="00730379">
        <w:rPr>
          <w:rFonts w:ascii="Aptos" w:hAnsi="Aptos"/>
          <w:color w:val="013844"/>
          <w:sz w:val="22"/>
          <w:szCs w:val="22"/>
        </w:rPr>
        <w:t>Are UC1–UC3 delivering the intended outcomes?</w:t>
      </w:r>
    </w:p>
    <w:p w14:paraId="0397802D" w14:textId="77777777" w:rsidR="003F3B19" w:rsidRPr="00730379" w:rsidRDefault="003F3B19" w:rsidP="003F3B19">
      <w:pPr>
        <w:numPr>
          <w:ilvl w:val="0"/>
          <w:numId w:val="46"/>
        </w:numPr>
        <w:rPr>
          <w:rFonts w:ascii="Aptos" w:hAnsi="Aptos"/>
          <w:color w:val="013844"/>
          <w:sz w:val="22"/>
          <w:szCs w:val="22"/>
        </w:rPr>
      </w:pPr>
      <w:r w:rsidRPr="00730379">
        <w:rPr>
          <w:rFonts w:ascii="Aptos" w:hAnsi="Aptos"/>
          <w:color w:val="013844"/>
          <w:sz w:val="22"/>
          <w:szCs w:val="22"/>
        </w:rPr>
        <w:t>Where are sessions failing and why?</w:t>
      </w:r>
    </w:p>
    <w:p w14:paraId="661CFF9C" w14:textId="77777777" w:rsidR="003F3B19" w:rsidRPr="00730379" w:rsidRDefault="003F3B19" w:rsidP="003F3B19">
      <w:pPr>
        <w:numPr>
          <w:ilvl w:val="0"/>
          <w:numId w:val="46"/>
        </w:numPr>
        <w:rPr>
          <w:rFonts w:ascii="Aptos" w:hAnsi="Aptos"/>
          <w:color w:val="013844"/>
          <w:sz w:val="22"/>
          <w:szCs w:val="22"/>
        </w:rPr>
      </w:pPr>
      <w:r w:rsidRPr="00730379">
        <w:rPr>
          <w:rFonts w:ascii="Aptos" w:hAnsi="Aptos"/>
          <w:color w:val="013844"/>
          <w:sz w:val="22"/>
          <w:szCs w:val="22"/>
        </w:rPr>
        <w:t>Are escalation and documentation steps being followed in practice?</w:t>
      </w:r>
    </w:p>
    <w:p w14:paraId="0186E588" w14:textId="77777777" w:rsidR="003F3B19" w:rsidRPr="00730379" w:rsidRDefault="003F3B19" w:rsidP="003F3B19">
      <w:pPr>
        <w:numPr>
          <w:ilvl w:val="0"/>
          <w:numId w:val="46"/>
        </w:numPr>
        <w:rPr>
          <w:rFonts w:ascii="Aptos" w:hAnsi="Aptos"/>
          <w:color w:val="013844"/>
          <w:sz w:val="22"/>
          <w:szCs w:val="22"/>
        </w:rPr>
      </w:pPr>
      <w:r w:rsidRPr="00730379">
        <w:rPr>
          <w:rFonts w:ascii="Aptos" w:hAnsi="Aptos"/>
          <w:color w:val="013844"/>
          <w:sz w:val="22"/>
          <w:szCs w:val="22"/>
        </w:rPr>
        <w:t>Is consent being consistently confirmed and recorded?</w:t>
      </w:r>
    </w:p>
    <w:p w14:paraId="2F204E6D" w14:textId="77777777" w:rsidR="003F3B19" w:rsidRPr="00730379" w:rsidRDefault="003F3B19" w:rsidP="003F3B19">
      <w:pPr>
        <w:numPr>
          <w:ilvl w:val="0"/>
          <w:numId w:val="46"/>
        </w:numPr>
        <w:rPr>
          <w:rFonts w:ascii="Aptos" w:hAnsi="Aptos"/>
          <w:color w:val="013844"/>
          <w:sz w:val="22"/>
          <w:szCs w:val="22"/>
        </w:rPr>
      </w:pPr>
      <w:r w:rsidRPr="00730379">
        <w:rPr>
          <w:rFonts w:ascii="Aptos" w:hAnsi="Aptos"/>
          <w:color w:val="013844"/>
          <w:sz w:val="22"/>
          <w:szCs w:val="22"/>
        </w:rPr>
        <w:t>What is the next best use case to add (UC4), and what changes are required?</w:t>
      </w:r>
    </w:p>
    <w:p w14:paraId="056D7209" w14:textId="77777777" w:rsidR="003F3B19" w:rsidRPr="00730379" w:rsidRDefault="003F3B19" w:rsidP="003F3B19">
      <w:pPr>
        <w:rPr>
          <w:rFonts w:ascii="Aptos" w:hAnsi="Aptos"/>
          <w:color w:val="013844"/>
          <w:sz w:val="22"/>
          <w:szCs w:val="22"/>
        </w:rPr>
      </w:pPr>
      <w:r w:rsidRPr="00730379">
        <w:rPr>
          <w:rFonts w:ascii="Aptos" w:hAnsi="Aptos"/>
          <w:b/>
          <w:bCs/>
          <w:color w:val="013844"/>
          <w:sz w:val="22"/>
          <w:szCs w:val="22"/>
        </w:rPr>
        <w:t>Outputs</w:t>
      </w:r>
    </w:p>
    <w:p w14:paraId="52BC785B" w14:textId="77777777" w:rsidR="003F3B19" w:rsidRPr="00730379" w:rsidRDefault="003F3B19" w:rsidP="003F3B19">
      <w:pPr>
        <w:numPr>
          <w:ilvl w:val="0"/>
          <w:numId w:val="47"/>
        </w:numPr>
        <w:rPr>
          <w:rFonts w:ascii="Aptos" w:hAnsi="Aptos"/>
          <w:color w:val="013844"/>
          <w:sz w:val="22"/>
          <w:szCs w:val="22"/>
        </w:rPr>
      </w:pPr>
      <w:r w:rsidRPr="00730379">
        <w:rPr>
          <w:rFonts w:ascii="Aptos" w:hAnsi="Aptos"/>
          <w:color w:val="013844"/>
          <w:sz w:val="22"/>
          <w:szCs w:val="22"/>
        </w:rPr>
        <w:t>Prioritised optimisation backlog (top 5 items)</w:t>
      </w:r>
    </w:p>
    <w:p w14:paraId="23621C48" w14:textId="77777777" w:rsidR="003F3B19" w:rsidRPr="00730379" w:rsidRDefault="003F3B19" w:rsidP="003F3B19">
      <w:pPr>
        <w:numPr>
          <w:ilvl w:val="0"/>
          <w:numId w:val="47"/>
        </w:numPr>
        <w:rPr>
          <w:rFonts w:ascii="Aptos" w:hAnsi="Aptos"/>
          <w:color w:val="013844"/>
          <w:sz w:val="22"/>
          <w:szCs w:val="22"/>
        </w:rPr>
      </w:pPr>
      <w:r w:rsidRPr="00730379">
        <w:rPr>
          <w:rFonts w:ascii="Aptos" w:hAnsi="Aptos"/>
          <w:color w:val="013844"/>
          <w:sz w:val="22"/>
          <w:szCs w:val="22"/>
        </w:rPr>
        <w:t>Decision on scaling (mobile/outreach, in-home, additional partners)</w:t>
      </w:r>
    </w:p>
    <w:p w14:paraId="05E3B074" w14:textId="77777777" w:rsidR="003F3B19" w:rsidRPr="00730379" w:rsidRDefault="003F3B19" w:rsidP="003F3B19">
      <w:pPr>
        <w:numPr>
          <w:ilvl w:val="0"/>
          <w:numId w:val="47"/>
        </w:numPr>
        <w:rPr>
          <w:rFonts w:ascii="Aptos" w:hAnsi="Aptos"/>
          <w:color w:val="013844"/>
          <w:sz w:val="22"/>
          <w:szCs w:val="22"/>
        </w:rPr>
      </w:pPr>
      <w:r w:rsidRPr="00730379">
        <w:rPr>
          <w:rFonts w:ascii="Aptos" w:hAnsi="Aptos"/>
          <w:color w:val="013844"/>
          <w:sz w:val="22"/>
          <w:szCs w:val="22"/>
        </w:rPr>
        <w:t>Refresher training plan for new starters and low-confidence roles</w:t>
      </w:r>
    </w:p>
    <w:p w14:paraId="0AF511C2" w14:textId="77777777" w:rsidR="003F3B19" w:rsidRPr="00730379" w:rsidRDefault="003F3B19" w:rsidP="003F3B19">
      <w:pPr>
        <w:numPr>
          <w:ilvl w:val="0"/>
          <w:numId w:val="47"/>
        </w:numPr>
        <w:rPr>
          <w:rFonts w:ascii="Aptos" w:hAnsi="Aptos"/>
          <w:color w:val="013844"/>
          <w:sz w:val="22"/>
          <w:szCs w:val="22"/>
        </w:rPr>
      </w:pPr>
      <w:r w:rsidRPr="00730379">
        <w:rPr>
          <w:rFonts w:ascii="Aptos" w:hAnsi="Aptos"/>
          <w:color w:val="013844"/>
          <w:sz w:val="22"/>
          <w:szCs w:val="22"/>
        </w:rPr>
        <w:t>Updated SOP review schedule</w:t>
      </w:r>
    </w:p>
    <w:p w14:paraId="76B6FB1E" w14:textId="77777777" w:rsidR="003F3B19" w:rsidRPr="00730379" w:rsidRDefault="003F3B19" w:rsidP="003F3B19">
      <w:pPr>
        <w:rPr>
          <w:rFonts w:ascii="Aptos" w:hAnsi="Aptos"/>
          <w:color w:val="013844"/>
          <w:sz w:val="22"/>
          <w:szCs w:val="22"/>
        </w:rPr>
      </w:pPr>
      <w:r w:rsidRPr="00730379">
        <w:rPr>
          <w:rFonts w:ascii="Aptos" w:hAnsi="Aptos"/>
          <w:color w:val="013844"/>
          <w:sz w:val="22"/>
          <w:szCs w:val="22"/>
        </w:rPr>
        <w:t xml:space="preserve">Embedding virtual care in organisational safety and quality frameworks and using monitoring to improve care is reinforced across NSW CEC and Victorian operational framework guidance. </w:t>
      </w:r>
    </w:p>
    <w:p w14:paraId="64CC9E37" w14:textId="77777777" w:rsidR="003F3B19" w:rsidRPr="00730379" w:rsidRDefault="003F3B19" w:rsidP="003F3B19">
      <w:pPr>
        <w:pStyle w:val="Heading3"/>
        <w:rPr>
          <w:rFonts w:ascii="Aptos" w:hAnsi="Aptos"/>
          <w:color w:val="013844"/>
          <w:sz w:val="24"/>
          <w:szCs w:val="24"/>
        </w:rPr>
      </w:pPr>
      <w:r w:rsidRPr="00730379">
        <w:rPr>
          <w:rFonts w:ascii="Aptos" w:hAnsi="Aptos"/>
          <w:color w:val="013844"/>
          <w:sz w:val="24"/>
          <w:szCs w:val="24"/>
        </w:rPr>
        <w:t>10.10 Sign-off checkpoint</w:t>
      </w:r>
    </w:p>
    <w:p w14:paraId="0CFC1754" w14:textId="14322C2F" w:rsidR="00A66AE8" w:rsidRPr="00730379" w:rsidRDefault="003F3B19">
      <w:pPr>
        <w:rPr>
          <w:rFonts w:ascii="Aptos" w:hAnsi="Aptos"/>
          <w:color w:val="013844"/>
          <w:sz w:val="22"/>
          <w:szCs w:val="22"/>
        </w:rPr>
      </w:pPr>
      <w:r w:rsidRPr="00730379">
        <w:rPr>
          <w:rFonts w:ascii="Aptos" w:hAnsi="Aptos"/>
          <w:color w:val="013844"/>
          <w:sz w:val="22"/>
          <w:szCs w:val="22"/>
        </w:rPr>
        <w:t xml:space="preserve">Service Owner (Clinical): 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Operations Owner: 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Technical Owner: ______________________________ Date: </w:t>
      </w:r>
      <w:r w:rsidRPr="00730379">
        <w:rPr>
          <w:rFonts w:ascii="Aptos" w:hAnsi="Aptos"/>
          <w:b/>
          <w:bCs/>
          <w:color w:val="013844"/>
          <w:sz w:val="22"/>
          <w:szCs w:val="22"/>
        </w:rPr>
        <w:t>/</w:t>
      </w:r>
      <w:r w:rsidRPr="00730379">
        <w:rPr>
          <w:rFonts w:ascii="Aptos" w:hAnsi="Aptos"/>
          <w:color w:val="013844"/>
          <w:sz w:val="22"/>
          <w:szCs w:val="22"/>
        </w:rPr>
        <w:t>/______</w:t>
      </w:r>
      <w:r w:rsidRPr="00730379">
        <w:rPr>
          <w:rFonts w:ascii="Aptos" w:hAnsi="Aptos"/>
          <w:color w:val="013844"/>
          <w:sz w:val="22"/>
          <w:szCs w:val="22"/>
        </w:rPr>
        <w:br/>
        <w:t xml:space="preserve">Visionflex (handover complete): _________________ Date: </w:t>
      </w:r>
      <w:r w:rsidRPr="00730379">
        <w:rPr>
          <w:rFonts w:ascii="Aptos" w:hAnsi="Aptos"/>
          <w:b/>
          <w:bCs/>
          <w:color w:val="013844"/>
          <w:sz w:val="22"/>
          <w:szCs w:val="22"/>
        </w:rPr>
        <w:t>/</w:t>
      </w:r>
      <w:r w:rsidRPr="00730379">
        <w:rPr>
          <w:rFonts w:ascii="Aptos" w:hAnsi="Aptos"/>
          <w:color w:val="013844"/>
          <w:sz w:val="22"/>
          <w:szCs w:val="22"/>
        </w:rPr>
        <w:t>/______</w:t>
      </w:r>
    </w:p>
    <w:p w14:paraId="3E17AE0F" w14:textId="0FD3B98D" w:rsidR="00A66AE8" w:rsidRPr="00BA74CE" w:rsidRDefault="00883EDF">
      <w:pPr>
        <w:pStyle w:val="Heading1"/>
        <w:rPr>
          <w:rFonts w:ascii="Aptos" w:hAnsi="Aptos"/>
          <w:b/>
          <w:bCs/>
          <w:color w:val="013844"/>
          <w:sz w:val="32"/>
          <w:szCs w:val="32"/>
        </w:rPr>
      </w:pPr>
      <w:bookmarkStart w:id="10" w:name="_Toc219805104"/>
      <w:r w:rsidRPr="00BA74CE">
        <w:rPr>
          <w:rFonts w:ascii="Aptos" w:hAnsi="Aptos"/>
          <w:b/>
          <w:bCs/>
          <w:color w:val="013844"/>
          <w:sz w:val="32"/>
          <w:szCs w:val="32"/>
        </w:rPr>
        <w:lastRenderedPageBreak/>
        <w:t>References and useful resources</w:t>
      </w:r>
      <w:bookmarkEnd w:id="10"/>
    </w:p>
    <w:p w14:paraId="2D7D464C" w14:textId="48821DB4" w:rsidR="00A66AE8" w:rsidRPr="00730379" w:rsidRDefault="00883EDF">
      <w:pPr>
        <w:spacing w:after="120"/>
        <w:rPr>
          <w:rFonts w:ascii="Aptos" w:hAnsi="Aptos"/>
          <w:color w:val="013844"/>
          <w:sz w:val="22"/>
          <w:szCs w:val="22"/>
        </w:rPr>
      </w:pPr>
      <w:r w:rsidRPr="00730379">
        <w:rPr>
          <w:rFonts w:ascii="Aptos" w:hAnsi="Aptos"/>
          <w:color w:val="013844"/>
          <w:sz w:val="22"/>
          <w:szCs w:val="22"/>
        </w:rPr>
        <w:t>These links are provided for convenience. Customers should apply their own governance, policies and jurisdictional requirements.</w:t>
      </w:r>
      <w:r w:rsidR="00BA74CE">
        <w:rPr>
          <w:rFonts w:ascii="Aptos" w:hAnsi="Aptos"/>
          <w:color w:val="013844"/>
          <w:sz w:val="22"/>
          <w:szCs w:val="22"/>
        </w:rPr>
        <w:br/>
      </w:r>
    </w:p>
    <w:p w14:paraId="39FEAB13"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R1. AHPRA – Information for practitioners who provide virtual care: </w:t>
      </w:r>
      <w:hyperlink r:id="rId14">
        <w:r w:rsidR="00A66AE8" w:rsidRPr="00730379">
          <w:rPr>
            <w:rStyle w:val="Hyperlink"/>
            <w:rFonts w:ascii="Aptos" w:hAnsi="Aptos"/>
            <w:color w:val="013844"/>
            <w:sz w:val="22"/>
            <w:szCs w:val="22"/>
          </w:rPr>
          <w:t>https://www.ahpra.gov.au/Resources/Information-for-practitioners-who-provide-virtual-care.aspx</w:t>
        </w:r>
      </w:hyperlink>
    </w:p>
    <w:p w14:paraId="79F5CD18"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R2. Medical Board of Australia – Telehealth consultations with patients: </w:t>
      </w:r>
      <w:hyperlink r:id="rId15">
        <w:r w:rsidR="00A66AE8" w:rsidRPr="00730379">
          <w:rPr>
            <w:rStyle w:val="Hyperlink"/>
            <w:rFonts w:ascii="Aptos" w:hAnsi="Aptos"/>
            <w:color w:val="013844"/>
            <w:sz w:val="22"/>
            <w:szCs w:val="22"/>
          </w:rPr>
          <w:t>https://www.medicalboard.gov.au/Codes-Guidelines-Policies/Telehealth-consultations-with-patients.aspx</w:t>
        </w:r>
      </w:hyperlink>
    </w:p>
    <w:p w14:paraId="65C9FFB6"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R3. RACGP – Principles for conducting telephone and video consultations (consent, introductions): </w:t>
      </w:r>
      <w:hyperlink r:id="rId16">
        <w:r w:rsidR="00A66AE8" w:rsidRPr="00730379">
          <w:rPr>
            <w:rStyle w:val="Hyperlink"/>
            <w:rFonts w:ascii="Aptos" w:hAnsi="Aptos"/>
            <w:color w:val="013844"/>
            <w:sz w:val="22"/>
            <w:szCs w:val="22"/>
          </w:rPr>
          <w:t>https://www.racgp.org.au/running-a-practice/technology/clinical-technology/telehealth/guide-to-providing-telephone-and-video-consultatio/principles-for-conducting-telehealth-consultations</w:t>
        </w:r>
      </w:hyperlink>
    </w:p>
    <w:p w14:paraId="1163DBD6"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R4. OAIC – Guide to health privacy: </w:t>
      </w:r>
      <w:hyperlink r:id="rId17">
        <w:r w:rsidR="00A66AE8" w:rsidRPr="00730379">
          <w:rPr>
            <w:rStyle w:val="Hyperlink"/>
            <w:rFonts w:ascii="Aptos" w:hAnsi="Aptos"/>
            <w:color w:val="013844"/>
            <w:sz w:val="22"/>
            <w:szCs w:val="22"/>
          </w:rPr>
          <w:t>https://www.oaic.gov.au/privacy/privacy-guidance-for-organisations-and-government-agencies/health-service-providers/guide-to-health-privacy</w:t>
        </w:r>
      </w:hyperlink>
    </w:p>
    <w:p w14:paraId="3EF557BD"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R5. Australian Digital Health Agency – Using Online Conferencing Technologies Securely (PDF): </w:t>
      </w:r>
      <w:hyperlink r:id="rId18">
        <w:r w:rsidR="00A66AE8" w:rsidRPr="00730379">
          <w:rPr>
            <w:rStyle w:val="Hyperlink"/>
            <w:rFonts w:ascii="Aptos" w:hAnsi="Aptos"/>
            <w:color w:val="013844"/>
            <w:sz w:val="22"/>
            <w:szCs w:val="22"/>
          </w:rPr>
          <w:t>https://www.digitalhealth.gov.au/sites/default/files/2020-11/Online_conferencing_technologies-Connected_secure_consultations.pdf</w:t>
        </w:r>
      </w:hyperlink>
    </w:p>
    <w:p w14:paraId="6533D3EF"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R6. NSW Agency for Clinical Innovation – Virtual care in practice: Implementation: </w:t>
      </w:r>
      <w:hyperlink r:id="rId19">
        <w:r w:rsidR="00A66AE8" w:rsidRPr="00730379">
          <w:rPr>
            <w:rStyle w:val="Hyperlink"/>
            <w:rFonts w:ascii="Aptos" w:hAnsi="Aptos"/>
            <w:color w:val="013844"/>
            <w:sz w:val="22"/>
            <w:szCs w:val="22"/>
          </w:rPr>
          <w:t>https://aci.health.nsw.gov.au/virtual-care-in-practice/implementation</w:t>
        </w:r>
      </w:hyperlink>
    </w:p>
    <w:p w14:paraId="105675B5"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R7. NSW Agency for Clinical Innovation – Monitoring, evaluation and research: </w:t>
      </w:r>
      <w:hyperlink r:id="rId20">
        <w:r w:rsidR="00A66AE8" w:rsidRPr="00730379">
          <w:rPr>
            <w:rStyle w:val="Hyperlink"/>
            <w:rFonts w:ascii="Aptos" w:hAnsi="Aptos"/>
            <w:color w:val="013844"/>
            <w:sz w:val="22"/>
            <w:szCs w:val="22"/>
          </w:rPr>
          <w:t>https://aci.health.nsw.gov.au/virtual-care-in-practice/implementation/monitoring-and-evaluation</w:t>
        </w:r>
      </w:hyperlink>
    </w:p>
    <w:p w14:paraId="5FEE5A39"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R8. Australian Commission on Safety and Quality in Health Care – Safety and quality in virtual care: </w:t>
      </w:r>
      <w:hyperlink r:id="rId21">
        <w:r w:rsidR="00A66AE8" w:rsidRPr="00730379">
          <w:rPr>
            <w:rStyle w:val="Hyperlink"/>
            <w:rFonts w:ascii="Aptos" w:hAnsi="Aptos"/>
            <w:color w:val="013844"/>
            <w:sz w:val="22"/>
            <w:szCs w:val="22"/>
          </w:rPr>
          <w:t>https://www.safetyandquality.gov.au/our-work/e-health-safety/safety-and-quality-virtual-care</w:t>
        </w:r>
      </w:hyperlink>
    </w:p>
    <w:p w14:paraId="560822C2"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R9. ACSQHC – Recognising and Responding to Acute Deterioration Standard: </w:t>
      </w:r>
      <w:hyperlink r:id="rId22">
        <w:r w:rsidR="00A66AE8" w:rsidRPr="00730379">
          <w:rPr>
            <w:rStyle w:val="Hyperlink"/>
            <w:rFonts w:ascii="Aptos" w:hAnsi="Aptos"/>
            <w:color w:val="013844"/>
            <w:sz w:val="22"/>
            <w:szCs w:val="22"/>
          </w:rPr>
          <w:t>https://www.safetyandquality.gov.au/standards/nsqhs-standards/recognising-and-responding-acute-deterioration-standard</w:t>
        </w:r>
      </w:hyperlink>
    </w:p>
    <w:p w14:paraId="112A5574"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R10. NSW Clinical Excellence Commission – Embedding virtual care in safety and quality frameworks (PDF): </w:t>
      </w:r>
      <w:hyperlink r:id="rId23">
        <w:r w:rsidR="00A66AE8" w:rsidRPr="00730379">
          <w:rPr>
            <w:rStyle w:val="Hyperlink"/>
            <w:rFonts w:ascii="Aptos" w:hAnsi="Aptos"/>
            <w:color w:val="013844"/>
            <w:sz w:val="22"/>
            <w:szCs w:val="22"/>
          </w:rPr>
          <w:t>https://www.cec.health.nsw.gov.au/__data/assets/pdf_file/0010/805906/Embedding-virtual-care-in-safety-and-quality-frameworks.pdf</w:t>
        </w:r>
      </w:hyperlink>
    </w:p>
    <w:p w14:paraId="201D08FA" w14:textId="77777777" w:rsidR="00A66AE8" w:rsidRPr="00730379" w:rsidRDefault="00883EDF">
      <w:pPr>
        <w:rPr>
          <w:rFonts w:ascii="Aptos" w:hAnsi="Aptos"/>
          <w:color w:val="013844"/>
          <w:sz w:val="22"/>
          <w:szCs w:val="22"/>
        </w:rPr>
      </w:pPr>
      <w:r w:rsidRPr="00730379">
        <w:rPr>
          <w:rFonts w:ascii="Aptos" w:hAnsi="Aptos"/>
          <w:color w:val="013844"/>
          <w:sz w:val="22"/>
          <w:szCs w:val="22"/>
        </w:rPr>
        <w:t xml:space="preserve">R11. Victorian Department of Health – Virtual Care Operational Framework core elements: </w:t>
      </w:r>
      <w:hyperlink r:id="rId24">
        <w:r w:rsidR="00A66AE8" w:rsidRPr="00730379">
          <w:rPr>
            <w:rStyle w:val="Hyperlink"/>
            <w:rFonts w:ascii="Aptos" w:hAnsi="Aptos"/>
            <w:color w:val="013844"/>
            <w:sz w:val="22"/>
            <w:szCs w:val="22"/>
          </w:rPr>
          <w:t>https://www.health.vic.gov.au/virtual-care-operational-framework/virtual-care-operating-framework</w:t>
        </w:r>
      </w:hyperlink>
    </w:p>
    <w:p w14:paraId="14AC29F2" w14:textId="03B766BB" w:rsidR="009843DF" w:rsidRPr="00730379" w:rsidRDefault="009843DF">
      <w:pPr>
        <w:rPr>
          <w:rFonts w:ascii="Aptos" w:hAnsi="Aptos"/>
          <w:color w:val="013844"/>
          <w:sz w:val="22"/>
          <w:szCs w:val="22"/>
        </w:rPr>
      </w:pPr>
      <w:r w:rsidRPr="00730379">
        <w:rPr>
          <w:rFonts w:ascii="Aptos" w:hAnsi="Aptos"/>
          <w:color w:val="013844"/>
          <w:sz w:val="22"/>
          <w:szCs w:val="22"/>
        </w:rPr>
        <w:lastRenderedPageBreak/>
        <w:t xml:space="preserve">R12. </w:t>
      </w:r>
      <w:r w:rsidR="00D77BAC" w:rsidRPr="00730379">
        <w:rPr>
          <w:rFonts w:ascii="Aptos" w:hAnsi="Aptos"/>
          <w:color w:val="013844"/>
          <w:sz w:val="22"/>
          <w:szCs w:val="22"/>
        </w:rPr>
        <w:t>MBS Online</w:t>
      </w:r>
      <w:r w:rsidR="004E0A9A" w:rsidRPr="00730379">
        <w:rPr>
          <w:rFonts w:ascii="Aptos" w:hAnsi="Aptos"/>
          <w:color w:val="013844"/>
          <w:sz w:val="22"/>
          <w:szCs w:val="22"/>
        </w:rPr>
        <w:t xml:space="preserve"> - </w:t>
      </w:r>
      <w:r w:rsidR="00D77BAC" w:rsidRPr="00730379">
        <w:rPr>
          <w:rFonts w:ascii="Aptos" w:hAnsi="Aptos"/>
          <w:color w:val="013844"/>
          <w:sz w:val="22"/>
          <w:szCs w:val="22"/>
        </w:rPr>
        <w:t xml:space="preserve">Factsheet Privacy checklist for telehealth services </w:t>
      </w:r>
      <w:hyperlink r:id="rId25" w:history="1">
        <w:r w:rsidRPr="00730379">
          <w:rPr>
            <w:rStyle w:val="Hyperlink"/>
            <w:rFonts w:ascii="Aptos" w:hAnsi="Aptos"/>
            <w:color w:val="013844"/>
            <w:sz w:val="22"/>
            <w:szCs w:val="22"/>
          </w:rPr>
          <w:t>https://www.mbsonline.gov.au/internet/mbsonline/publishing.nsf/Content/F47F4FC1848FAEC2CA25855D008395C9/$File/Factsheet-privacy-checklist-for-telehealth-services-20200804.pdf</w:t>
        </w:r>
      </w:hyperlink>
    </w:p>
    <w:sectPr w:rsidR="009843DF" w:rsidRPr="00730379" w:rsidSect="00221760">
      <w:headerReference w:type="default" r:id="rId26"/>
      <w:footerReference w:type="default" r:id="rId27"/>
      <w:pgSz w:w="11906" w:h="16838"/>
      <w:pgMar w:top="1931" w:right="1111" w:bottom="2652" w:left="101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49D74" w14:textId="77777777" w:rsidR="00883EDF" w:rsidRDefault="00883EDF" w:rsidP="003753BD">
      <w:pPr>
        <w:spacing w:after="0" w:line="240" w:lineRule="auto"/>
      </w:pPr>
      <w:r>
        <w:separator/>
      </w:r>
    </w:p>
  </w:endnote>
  <w:endnote w:type="continuationSeparator" w:id="0">
    <w:p w14:paraId="488D9C21" w14:textId="77777777" w:rsidR="00883EDF" w:rsidRDefault="00883EDF" w:rsidP="00375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BF6A" w14:textId="03AFCFD6" w:rsidR="00221760" w:rsidRDefault="00221760">
    <w:pPr>
      <w:pStyle w:val="Footer"/>
    </w:pPr>
    <w:r>
      <w:rPr>
        <w:noProof/>
      </w:rPr>
      <w:drawing>
        <wp:anchor distT="0" distB="0" distL="114300" distR="114300" simplePos="0" relativeHeight="251661312" behindDoc="0" locked="0" layoutInCell="1" allowOverlap="1" wp14:anchorId="0AC4F06E" wp14:editId="3EE1EBAA">
          <wp:simplePos x="0" y="0"/>
          <wp:positionH relativeFrom="margin">
            <wp:posOffset>-651933</wp:posOffset>
          </wp:positionH>
          <wp:positionV relativeFrom="margin">
            <wp:posOffset>8134139</wp:posOffset>
          </wp:positionV>
          <wp:extent cx="7613650" cy="1486535"/>
          <wp:effectExtent l="0" t="0" r="0" b="0"/>
          <wp:wrapThrough wrapText="bothSides">
            <wp:wrapPolygon edited="0">
              <wp:start x="1729" y="3506"/>
              <wp:lineTo x="1513" y="4982"/>
              <wp:lineTo x="1477" y="5905"/>
              <wp:lineTo x="1585" y="8120"/>
              <wp:lineTo x="7026" y="9780"/>
              <wp:lineTo x="10809" y="9780"/>
              <wp:lineTo x="1513" y="11626"/>
              <wp:lineTo x="1513" y="13287"/>
              <wp:lineTo x="2342" y="13840"/>
              <wp:lineTo x="3387" y="14209"/>
              <wp:lineTo x="7026" y="14209"/>
              <wp:lineTo x="20105" y="13656"/>
              <wp:lineTo x="20105" y="11626"/>
              <wp:lineTo x="10773" y="9780"/>
              <wp:lineTo x="8323" y="6828"/>
              <wp:lineTo x="19997" y="6828"/>
              <wp:lineTo x="19997" y="4798"/>
              <wp:lineTo x="6954" y="3506"/>
              <wp:lineTo x="1729" y="3506"/>
            </wp:wrapPolygon>
          </wp:wrapThrough>
          <wp:docPr id="627349562" name="Picture 627349562" descr="A black and white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49562" name="Picture 627349562" descr="A black and white background with blu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13650" cy="14865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09C3F" w14:textId="77777777" w:rsidR="00883EDF" w:rsidRDefault="00883EDF" w:rsidP="003753BD">
      <w:pPr>
        <w:spacing w:after="0" w:line="240" w:lineRule="auto"/>
      </w:pPr>
      <w:r>
        <w:separator/>
      </w:r>
    </w:p>
  </w:footnote>
  <w:footnote w:type="continuationSeparator" w:id="0">
    <w:p w14:paraId="32408DA3" w14:textId="77777777" w:rsidR="00883EDF" w:rsidRDefault="00883EDF" w:rsidP="00375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F26A3" w14:textId="65A74272" w:rsidR="00DB0169" w:rsidRPr="001B5556" w:rsidRDefault="00DB0169" w:rsidP="00DB0169">
    <w:pPr>
      <w:pStyle w:val="Title"/>
      <w:ind w:left="7088"/>
      <w:jc w:val="right"/>
      <w:rPr>
        <w:rFonts w:asciiTheme="minorHAnsi" w:hAnsiTheme="minorHAnsi"/>
        <w:color w:val="013844"/>
        <w:spacing w:val="0"/>
        <w:sz w:val="24"/>
        <w:szCs w:val="24"/>
      </w:rPr>
    </w:pPr>
    <w:r w:rsidRPr="001B5556">
      <w:rPr>
        <w:noProof/>
        <w:sz w:val="24"/>
        <w:szCs w:val="24"/>
      </w:rPr>
      <w:drawing>
        <wp:anchor distT="0" distB="0" distL="114300" distR="114300" simplePos="0" relativeHeight="251659264" behindDoc="0" locked="0" layoutInCell="1" allowOverlap="1" wp14:anchorId="5019EFBD" wp14:editId="0E0F0C2A">
          <wp:simplePos x="0" y="0"/>
          <wp:positionH relativeFrom="column">
            <wp:posOffset>0</wp:posOffset>
          </wp:positionH>
          <wp:positionV relativeFrom="paragraph">
            <wp:posOffset>12912</wp:posOffset>
          </wp:positionV>
          <wp:extent cx="1362710" cy="252095"/>
          <wp:effectExtent l="0" t="0" r="0" b="1905"/>
          <wp:wrapNone/>
          <wp:docPr id="1812912742"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12742" name="Picture 1" descr="A blue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2710" cy="252095"/>
                  </a:xfrm>
                  <a:prstGeom prst="rect">
                    <a:avLst/>
                  </a:prstGeom>
                </pic:spPr>
              </pic:pic>
            </a:graphicData>
          </a:graphic>
          <wp14:sizeRelH relativeFrom="page">
            <wp14:pctWidth>0</wp14:pctWidth>
          </wp14:sizeRelH>
          <wp14:sizeRelV relativeFrom="page">
            <wp14:pctHeight>0</wp14:pctHeight>
          </wp14:sizeRelV>
        </wp:anchor>
      </w:drawing>
    </w:r>
    <w:r w:rsidRPr="001B5556">
      <w:rPr>
        <w:rFonts w:asciiTheme="minorHAnsi" w:hAnsiTheme="minorHAnsi"/>
        <w:color w:val="013844"/>
        <w:spacing w:val="0"/>
        <w:sz w:val="24"/>
        <w:szCs w:val="24"/>
      </w:rPr>
      <w:t>Virtual</w:t>
    </w:r>
    <w:r>
      <w:rPr>
        <w:rFonts w:asciiTheme="minorHAnsi" w:hAnsiTheme="minorHAnsi"/>
        <w:color w:val="013844"/>
        <w:spacing w:val="0"/>
        <w:sz w:val="24"/>
        <w:szCs w:val="24"/>
      </w:rPr>
      <w:t xml:space="preserve"> Care Roll-out </w:t>
    </w:r>
    <w:r>
      <w:rPr>
        <w:rFonts w:asciiTheme="minorHAnsi" w:hAnsiTheme="minorHAnsi"/>
        <w:color w:val="013844"/>
        <w:spacing w:val="0"/>
        <w:sz w:val="24"/>
        <w:szCs w:val="24"/>
      </w:rPr>
      <w:t xml:space="preserve">Project Plan </w:t>
    </w:r>
    <w:proofErr w:type="spellStart"/>
    <w:r>
      <w:rPr>
        <w:rFonts w:asciiTheme="minorHAnsi" w:hAnsiTheme="minorHAnsi"/>
        <w:color w:val="013844"/>
        <w:spacing w:val="0"/>
        <w:sz w:val="24"/>
        <w:szCs w:val="24"/>
      </w:rPr>
      <w:t>for</w:t>
    </w:r>
    <w:proofErr w:type="spellEnd"/>
    <w:r>
      <w:rPr>
        <w:rFonts w:asciiTheme="minorHAnsi" w:hAnsiTheme="minorHAnsi"/>
        <w:color w:val="013844"/>
        <w:spacing w:val="0"/>
        <w:sz w:val="24"/>
        <w:szCs w:val="24"/>
      </w:rPr>
      <w:t xml:space="preserve"> Clinics</w:t>
    </w:r>
  </w:p>
  <w:p w14:paraId="2C561697" w14:textId="77777777" w:rsidR="00DB0169" w:rsidRDefault="00DB0169" w:rsidP="00DB01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28E6"/>
    <w:multiLevelType w:val="multilevel"/>
    <w:tmpl w:val="75FA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527AC"/>
    <w:multiLevelType w:val="multilevel"/>
    <w:tmpl w:val="7396A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E0CA0"/>
    <w:multiLevelType w:val="multilevel"/>
    <w:tmpl w:val="210A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2218C"/>
    <w:multiLevelType w:val="multilevel"/>
    <w:tmpl w:val="426CA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2522B"/>
    <w:multiLevelType w:val="multilevel"/>
    <w:tmpl w:val="F706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22939"/>
    <w:multiLevelType w:val="multilevel"/>
    <w:tmpl w:val="5FF8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2752C"/>
    <w:multiLevelType w:val="multilevel"/>
    <w:tmpl w:val="E9A2B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32D98"/>
    <w:multiLevelType w:val="multilevel"/>
    <w:tmpl w:val="D64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A3EA4"/>
    <w:multiLevelType w:val="multilevel"/>
    <w:tmpl w:val="CD585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3094B"/>
    <w:multiLevelType w:val="multilevel"/>
    <w:tmpl w:val="4544C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34582A"/>
    <w:multiLevelType w:val="multilevel"/>
    <w:tmpl w:val="3DD6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352F25"/>
    <w:multiLevelType w:val="multilevel"/>
    <w:tmpl w:val="B2C2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F0B12"/>
    <w:multiLevelType w:val="multilevel"/>
    <w:tmpl w:val="BE345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DF70FD"/>
    <w:multiLevelType w:val="multilevel"/>
    <w:tmpl w:val="ECD0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3555D5"/>
    <w:multiLevelType w:val="multilevel"/>
    <w:tmpl w:val="10B2C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EE21C2"/>
    <w:multiLevelType w:val="multilevel"/>
    <w:tmpl w:val="8AC6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67986"/>
    <w:multiLevelType w:val="multilevel"/>
    <w:tmpl w:val="C964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E2AE7"/>
    <w:multiLevelType w:val="multilevel"/>
    <w:tmpl w:val="45A4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517E99"/>
    <w:multiLevelType w:val="multilevel"/>
    <w:tmpl w:val="F43E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120C73"/>
    <w:multiLevelType w:val="multilevel"/>
    <w:tmpl w:val="9D6A8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DA3612"/>
    <w:multiLevelType w:val="multilevel"/>
    <w:tmpl w:val="14427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C07BCE"/>
    <w:multiLevelType w:val="multilevel"/>
    <w:tmpl w:val="A934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FA23CE"/>
    <w:multiLevelType w:val="multilevel"/>
    <w:tmpl w:val="7C14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34F46"/>
    <w:multiLevelType w:val="multilevel"/>
    <w:tmpl w:val="0CCEA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F058A0"/>
    <w:multiLevelType w:val="multilevel"/>
    <w:tmpl w:val="6BBA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386EE8"/>
    <w:multiLevelType w:val="multilevel"/>
    <w:tmpl w:val="2E9A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556E2"/>
    <w:multiLevelType w:val="multilevel"/>
    <w:tmpl w:val="CC927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CB036A"/>
    <w:multiLevelType w:val="multilevel"/>
    <w:tmpl w:val="3382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F26811"/>
    <w:multiLevelType w:val="multilevel"/>
    <w:tmpl w:val="31AE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B30192"/>
    <w:multiLevelType w:val="multilevel"/>
    <w:tmpl w:val="EAEAB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91230"/>
    <w:multiLevelType w:val="multilevel"/>
    <w:tmpl w:val="D5D0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9436BE"/>
    <w:multiLevelType w:val="multilevel"/>
    <w:tmpl w:val="88B0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226D0B"/>
    <w:multiLevelType w:val="multilevel"/>
    <w:tmpl w:val="1DFE0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2F63EA"/>
    <w:multiLevelType w:val="multilevel"/>
    <w:tmpl w:val="C778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45387A"/>
    <w:multiLevelType w:val="multilevel"/>
    <w:tmpl w:val="B4BC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80319C"/>
    <w:multiLevelType w:val="multilevel"/>
    <w:tmpl w:val="B7F0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08117E"/>
    <w:multiLevelType w:val="multilevel"/>
    <w:tmpl w:val="6600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EA60E9"/>
    <w:multiLevelType w:val="multilevel"/>
    <w:tmpl w:val="30964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D3119A"/>
    <w:multiLevelType w:val="multilevel"/>
    <w:tmpl w:val="0CFC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7C42EE"/>
    <w:multiLevelType w:val="multilevel"/>
    <w:tmpl w:val="F2F67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490C14"/>
    <w:multiLevelType w:val="multilevel"/>
    <w:tmpl w:val="38B0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DA3A5D"/>
    <w:multiLevelType w:val="multilevel"/>
    <w:tmpl w:val="9918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070CD1"/>
    <w:multiLevelType w:val="multilevel"/>
    <w:tmpl w:val="9A54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594666"/>
    <w:multiLevelType w:val="multilevel"/>
    <w:tmpl w:val="F91C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81699B"/>
    <w:multiLevelType w:val="multilevel"/>
    <w:tmpl w:val="5B70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3C6B20"/>
    <w:multiLevelType w:val="multilevel"/>
    <w:tmpl w:val="F618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3C1EC2"/>
    <w:multiLevelType w:val="multilevel"/>
    <w:tmpl w:val="5928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4901554">
    <w:abstractNumId w:val="19"/>
  </w:num>
  <w:num w:numId="2" w16cid:durableId="953832049">
    <w:abstractNumId w:val="40"/>
  </w:num>
  <w:num w:numId="3" w16cid:durableId="1696955635">
    <w:abstractNumId w:val="21"/>
  </w:num>
  <w:num w:numId="4" w16cid:durableId="257257325">
    <w:abstractNumId w:val="26"/>
  </w:num>
  <w:num w:numId="5" w16cid:durableId="1649356298">
    <w:abstractNumId w:val="39"/>
  </w:num>
  <w:num w:numId="6" w16cid:durableId="1977248538">
    <w:abstractNumId w:val="38"/>
  </w:num>
  <w:num w:numId="7" w16cid:durableId="1952591849">
    <w:abstractNumId w:val="10"/>
  </w:num>
  <w:num w:numId="8" w16cid:durableId="2091536319">
    <w:abstractNumId w:val="12"/>
  </w:num>
  <w:num w:numId="9" w16cid:durableId="27222928">
    <w:abstractNumId w:val="20"/>
  </w:num>
  <w:num w:numId="10" w16cid:durableId="567308664">
    <w:abstractNumId w:val="23"/>
  </w:num>
  <w:num w:numId="11" w16cid:durableId="2130204313">
    <w:abstractNumId w:val="18"/>
  </w:num>
  <w:num w:numId="12" w16cid:durableId="1229538800">
    <w:abstractNumId w:val="22"/>
  </w:num>
  <w:num w:numId="13" w16cid:durableId="1391222405">
    <w:abstractNumId w:val="16"/>
  </w:num>
  <w:num w:numId="14" w16cid:durableId="856773290">
    <w:abstractNumId w:val="25"/>
  </w:num>
  <w:num w:numId="15" w16cid:durableId="342974157">
    <w:abstractNumId w:val="4"/>
  </w:num>
  <w:num w:numId="16" w16cid:durableId="727725512">
    <w:abstractNumId w:val="14"/>
  </w:num>
  <w:num w:numId="17" w16cid:durableId="992442400">
    <w:abstractNumId w:val="43"/>
  </w:num>
  <w:num w:numId="18" w16cid:durableId="1052271094">
    <w:abstractNumId w:val="33"/>
  </w:num>
  <w:num w:numId="19" w16cid:durableId="1117334779">
    <w:abstractNumId w:val="36"/>
  </w:num>
  <w:num w:numId="20" w16cid:durableId="1370883627">
    <w:abstractNumId w:val="27"/>
  </w:num>
  <w:num w:numId="21" w16cid:durableId="1923907394">
    <w:abstractNumId w:val="17"/>
  </w:num>
  <w:num w:numId="22" w16cid:durableId="1028406732">
    <w:abstractNumId w:val="32"/>
  </w:num>
  <w:num w:numId="23" w16cid:durableId="422342271">
    <w:abstractNumId w:val="2"/>
  </w:num>
  <w:num w:numId="24" w16cid:durableId="250969961">
    <w:abstractNumId w:val="30"/>
  </w:num>
  <w:num w:numId="25" w16cid:durableId="2129931716">
    <w:abstractNumId w:val="24"/>
  </w:num>
  <w:num w:numId="26" w16cid:durableId="1647247658">
    <w:abstractNumId w:val="35"/>
  </w:num>
  <w:num w:numId="27" w16cid:durableId="1018855048">
    <w:abstractNumId w:val="11"/>
  </w:num>
  <w:num w:numId="28" w16cid:durableId="1075083554">
    <w:abstractNumId w:val="3"/>
  </w:num>
  <w:num w:numId="29" w16cid:durableId="1233198354">
    <w:abstractNumId w:val="46"/>
  </w:num>
  <w:num w:numId="30" w16cid:durableId="1335106801">
    <w:abstractNumId w:val="9"/>
  </w:num>
  <w:num w:numId="31" w16cid:durableId="1973124250">
    <w:abstractNumId w:val="42"/>
  </w:num>
  <w:num w:numId="32" w16cid:durableId="1209953490">
    <w:abstractNumId w:val="29"/>
  </w:num>
  <w:num w:numId="33" w16cid:durableId="1850677662">
    <w:abstractNumId w:val="7"/>
  </w:num>
  <w:num w:numId="34" w16cid:durableId="1580290395">
    <w:abstractNumId w:val="37"/>
  </w:num>
  <w:num w:numId="35" w16cid:durableId="1806729076">
    <w:abstractNumId w:val="28"/>
  </w:num>
  <w:num w:numId="36" w16cid:durableId="1885097975">
    <w:abstractNumId w:val="31"/>
  </w:num>
  <w:num w:numId="37" w16cid:durableId="1966420420">
    <w:abstractNumId w:val="1"/>
  </w:num>
  <w:num w:numId="38" w16cid:durableId="895701650">
    <w:abstractNumId w:val="44"/>
  </w:num>
  <w:num w:numId="39" w16cid:durableId="1469863694">
    <w:abstractNumId w:val="0"/>
  </w:num>
  <w:num w:numId="40" w16cid:durableId="739016411">
    <w:abstractNumId w:val="41"/>
  </w:num>
  <w:num w:numId="41" w16cid:durableId="30810087">
    <w:abstractNumId w:val="45"/>
  </w:num>
  <w:num w:numId="42" w16cid:durableId="1689942440">
    <w:abstractNumId w:val="8"/>
  </w:num>
  <w:num w:numId="43" w16cid:durableId="1907371442">
    <w:abstractNumId w:val="34"/>
  </w:num>
  <w:num w:numId="44" w16cid:durableId="1921139921">
    <w:abstractNumId w:val="13"/>
  </w:num>
  <w:num w:numId="45" w16cid:durableId="994184275">
    <w:abstractNumId w:val="15"/>
  </w:num>
  <w:num w:numId="46" w16cid:durableId="1155953455">
    <w:abstractNumId w:val="5"/>
  </w:num>
  <w:num w:numId="47" w16cid:durableId="1943180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B51"/>
    <w:rsid w:val="000C26EC"/>
    <w:rsid w:val="001A2B51"/>
    <w:rsid w:val="00221760"/>
    <w:rsid w:val="00260032"/>
    <w:rsid w:val="002957B2"/>
    <w:rsid w:val="002A3775"/>
    <w:rsid w:val="003753BD"/>
    <w:rsid w:val="003F3B19"/>
    <w:rsid w:val="00421870"/>
    <w:rsid w:val="004B7294"/>
    <w:rsid w:val="004E0A9A"/>
    <w:rsid w:val="00654A14"/>
    <w:rsid w:val="0065517F"/>
    <w:rsid w:val="007210F2"/>
    <w:rsid w:val="00730379"/>
    <w:rsid w:val="007623BD"/>
    <w:rsid w:val="008406C2"/>
    <w:rsid w:val="00883EDF"/>
    <w:rsid w:val="0088417C"/>
    <w:rsid w:val="008B313E"/>
    <w:rsid w:val="009843DF"/>
    <w:rsid w:val="00A66AE8"/>
    <w:rsid w:val="00AE2F0F"/>
    <w:rsid w:val="00B12BBB"/>
    <w:rsid w:val="00B23E4B"/>
    <w:rsid w:val="00BA74CE"/>
    <w:rsid w:val="00BE3E63"/>
    <w:rsid w:val="00C13656"/>
    <w:rsid w:val="00D75523"/>
    <w:rsid w:val="00D77BAC"/>
    <w:rsid w:val="00DB0169"/>
    <w:rsid w:val="00E43B97"/>
    <w:rsid w:val="00FD0D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9F2F3"/>
  <w15:chartTrackingRefBased/>
  <w15:docId w15:val="{D4543431-96CB-4B74-A201-F01FA0E0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2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A2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A2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A2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B51"/>
    <w:rPr>
      <w:rFonts w:eastAsiaTheme="majorEastAsia" w:cstheme="majorBidi"/>
      <w:color w:val="272727" w:themeColor="text1" w:themeTint="D8"/>
    </w:rPr>
  </w:style>
  <w:style w:type="paragraph" w:styleId="Title">
    <w:name w:val="Title"/>
    <w:basedOn w:val="Normal"/>
    <w:next w:val="Normal"/>
    <w:link w:val="TitleChar"/>
    <w:uiPriority w:val="10"/>
    <w:qFormat/>
    <w:rsid w:val="001A2B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B51"/>
    <w:pPr>
      <w:spacing w:before="160"/>
      <w:jc w:val="center"/>
    </w:pPr>
    <w:rPr>
      <w:i/>
      <w:iCs/>
      <w:color w:val="404040" w:themeColor="text1" w:themeTint="BF"/>
    </w:rPr>
  </w:style>
  <w:style w:type="character" w:customStyle="1" w:styleId="QuoteChar">
    <w:name w:val="Quote Char"/>
    <w:basedOn w:val="DefaultParagraphFont"/>
    <w:link w:val="Quote"/>
    <w:uiPriority w:val="29"/>
    <w:rsid w:val="001A2B51"/>
    <w:rPr>
      <w:i/>
      <w:iCs/>
      <w:color w:val="404040" w:themeColor="text1" w:themeTint="BF"/>
    </w:rPr>
  </w:style>
  <w:style w:type="paragraph" w:styleId="ListParagraph">
    <w:name w:val="List Paragraph"/>
    <w:basedOn w:val="Normal"/>
    <w:uiPriority w:val="34"/>
    <w:qFormat/>
    <w:rsid w:val="001A2B51"/>
    <w:pPr>
      <w:ind w:left="720"/>
      <w:contextualSpacing/>
    </w:pPr>
  </w:style>
  <w:style w:type="character" w:styleId="IntenseEmphasis">
    <w:name w:val="Intense Emphasis"/>
    <w:basedOn w:val="DefaultParagraphFont"/>
    <w:uiPriority w:val="21"/>
    <w:qFormat/>
    <w:rsid w:val="001A2B51"/>
    <w:rPr>
      <w:i/>
      <w:iCs/>
      <w:color w:val="0F4761" w:themeColor="accent1" w:themeShade="BF"/>
    </w:rPr>
  </w:style>
  <w:style w:type="paragraph" w:styleId="IntenseQuote">
    <w:name w:val="Intense Quote"/>
    <w:basedOn w:val="Normal"/>
    <w:next w:val="Normal"/>
    <w:link w:val="IntenseQuoteChar"/>
    <w:uiPriority w:val="30"/>
    <w:qFormat/>
    <w:rsid w:val="001A2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B51"/>
    <w:rPr>
      <w:i/>
      <w:iCs/>
      <w:color w:val="0F4761" w:themeColor="accent1" w:themeShade="BF"/>
    </w:rPr>
  </w:style>
  <w:style w:type="character" w:styleId="IntenseReference">
    <w:name w:val="Intense Reference"/>
    <w:basedOn w:val="DefaultParagraphFont"/>
    <w:uiPriority w:val="32"/>
    <w:qFormat/>
    <w:rsid w:val="001A2B51"/>
    <w:rPr>
      <w:b/>
      <w:bCs/>
      <w:smallCaps/>
      <w:color w:val="0F4761" w:themeColor="accent1" w:themeShade="BF"/>
      <w:spacing w:val="5"/>
    </w:rPr>
  </w:style>
  <w:style w:type="character" w:styleId="Hyperlink">
    <w:name w:val="Hyperlink"/>
    <w:basedOn w:val="DefaultParagraphFont"/>
    <w:uiPriority w:val="99"/>
    <w:unhideWhenUsed/>
    <w:rsid w:val="001A2B51"/>
    <w:rPr>
      <w:color w:val="467886" w:themeColor="hyperlink"/>
      <w:u w:val="single"/>
    </w:rPr>
  </w:style>
  <w:style w:type="character" w:styleId="UnresolvedMention">
    <w:name w:val="Unresolved Mention"/>
    <w:basedOn w:val="DefaultParagraphFont"/>
    <w:uiPriority w:val="99"/>
    <w:semiHidden/>
    <w:unhideWhenUsed/>
    <w:rsid w:val="001A2B51"/>
    <w:rPr>
      <w:color w:val="605E5C"/>
      <w:shd w:val="clear" w:color="auto" w:fill="E1DFDD"/>
    </w:rPr>
  </w:style>
  <w:style w:type="character" w:styleId="PlaceholderText">
    <w:name w:val="Placeholder Text"/>
    <w:basedOn w:val="DefaultParagraphFont"/>
    <w:uiPriority w:val="99"/>
    <w:semiHidden/>
    <w:rsid w:val="003F3B19"/>
    <w:rPr>
      <w:color w:val="666666"/>
    </w:rPr>
  </w:style>
  <w:style w:type="paragraph" w:styleId="TOC1">
    <w:name w:val="toc 1"/>
    <w:basedOn w:val="Normal"/>
    <w:next w:val="Normal"/>
    <w:autoRedefine/>
    <w:uiPriority w:val="39"/>
    <w:unhideWhenUsed/>
    <w:rsid w:val="00730379"/>
    <w:pPr>
      <w:tabs>
        <w:tab w:val="right" w:leader="dot" w:pos="9016"/>
      </w:tabs>
      <w:spacing w:after="100"/>
    </w:pPr>
    <w:rPr>
      <w:rFonts w:ascii="Aptos" w:hAnsi="Aptos"/>
      <w:noProof/>
      <w:color w:val="013844"/>
      <w:sz w:val="22"/>
      <w:szCs w:val="22"/>
    </w:rPr>
  </w:style>
  <w:style w:type="paragraph" w:styleId="TOC2">
    <w:name w:val="toc 2"/>
    <w:basedOn w:val="Normal"/>
    <w:next w:val="Normal"/>
    <w:autoRedefine/>
    <w:uiPriority w:val="39"/>
    <w:unhideWhenUsed/>
    <w:rsid w:val="00FD0D6B"/>
    <w:pPr>
      <w:spacing w:after="100"/>
      <w:ind w:left="240"/>
    </w:pPr>
  </w:style>
  <w:style w:type="paragraph" w:styleId="TOC3">
    <w:name w:val="toc 3"/>
    <w:basedOn w:val="Normal"/>
    <w:next w:val="Normal"/>
    <w:autoRedefine/>
    <w:uiPriority w:val="39"/>
    <w:unhideWhenUsed/>
    <w:rsid w:val="00FD0D6B"/>
    <w:pPr>
      <w:spacing w:after="100"/>
      <w:ind w:left="480"/>
    </w:pPr>
  </w:style>
  <w:style w:type="paragraph" w:styleId="Header">
    <w:name w:val="header"/>
    <w:basedOn w:val="Normal"/>
    <w:link w:val="HeaderChar"/>
    <w:uiPriority w:val="99"/>
    <w:unhideWhenUsed/>
    <w:rsid w:val="003753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3BD"/>
  </w:style>
  <w:style w:type="paragraph" w:styleId="Footer">
    <w:name w:val="footer"/>
    <w:basedOn w:val="Normal"/>
    <w:link w:val="FooterChar"/>
    <w:uiPriority w:val="99"/>
    <w:unhideWhenUsed/>
    <w:rsid w:val="003753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3BD"/>
  </w:style>
  <w:style w:type="table" w:styleId="TableGrid">
    <w:name w:val="Table Grid"/>
    <w:basedOn w:val="TableNormal"/>
    <w:uiPriority w:val="39"/>
    <w:rsid w:val="00730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i.health.nsw.gov.au/virtual-care-in-practice/implementation" TargetMode="External"/><Relationship Id="rId18" Type="http://schemas.openxmlformats.org/officeDocument/2006/relationships/hyperlink" Target="https://www.digitalhealth.gov.au/sites/default/files/2020-11/Online_conferencing_technologies-Connected_secure_consultations.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afetyandquality.gov.au/our-work/e-health-safety/safety-and-quality-virtual-care" TargetMode="External"/><Relationship Id="rId7" Type="http://schemas.openxmlformats.org/officeDocument/2006/relationships/webSettings" Target="webSettings.xml"/><Relationship Id="rId12" Type="http://schemas.openxmlformats.org/officeDocument/2006/relationships/hyperlink" Target="mailto:support@visionflex.com" TargetMode="External"/><Relationship Id="rId17" Type="http://schemas.openxmlformats.org/officeDocument/2006/relationships/hyperlink" Target="https://www.oaic.gov.au/privacy/privacy-guidance-for-organisations-and-government-agencies/health-service-providers/guide-to-health-privacy" TargetMode="External"/><Relationship Id="rId25" Type="http://schemas.openxmlformats.org/officeDocument/2006/relationships/hyperlink" Target="https://www.mbsonline.gov.au/internet/mbsonline/publishing.nsf/Content/F47F4FC1848FAEC2CA25855D008395C9/$File/Factsheet-privacy-checklist-for-telehealth-services-20200804.pdf" TargetMode="External"/><Relationship Id="rId2" Type="http://schemas.openxmlformats.org/officeDocument/2006/relationships/customXml" Target="../customXml/item2.xml"/><Relationship Id="rId16" Type="http://schemas.openxmlformats.org/officeDocument/2006/relationships/hyperlink" Target="https://www.racgp.org.au/running-a-practice/technology/clinical-technology/telehealth/guide-to-providing-telephone-and-video-consultatio/principles-for-conducting-telehealth-consultations" TargetMode="External"/><Relationship Id="rId20" Type="http://schemas.openxmlformats.org/officeDocument/2006/relationships/hyperlink" Target="https://aci.health.nsw.gov.au/virtual-care-in-practice/implementation/monitoring-and-evaluat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61289144000" TargetMode="External"/><Relationship Id="rId24" Type="http://schemas.openxmlformats.org/officeDocument/2006/relationships/hyperlink" Target="https://www.health.vic.gov.au/virtual-care-operational-framework/virtual-care-operating-framework" TargetMode="External"/><Relationship Id="rId5" Type="http://schemas.openxmlformats.org/officeDocument/2006/relationships/styles" Target="styles.xml"/><Relationship Id="rId15" Type="http://schemas.openxmlformats.org/officeDocument/2006/relationships/hyperlink" Target="https://www.medicalboard.gov.au/Codes-Guidelines-Policies/Telehealth-consultations-with-patients.aspx" TargetMode="External"/><Relationship Id="rId23" Type="http://schemas.openxmlformats.org/officeDocument/2006/relationships/hyperlink" Target="https://www.cec.health.nsw.gov.au/__data/assets/pdf_file/0010/805906/Embedding-virtual-care-in-safety-and-quality-frameworks.pdf" TargetMode="External"/><Relationship Id="rId28" Type="http://schemas.openxmlformats.org/officeDocument/2006/relationships/fontTable" Target="fontTable.xml"/><Relationship Id="rId10" Type="http://schemas.openxmlformats.org/officeDocument/2006/relationships/hyperlink" Target="http://www.visionflex.com/support" TargetMode="External"/><Relationship Id="rId19" Type="http://schemas.openxmlformats.org/officeDocument/2006/relationships/hyperlink" Target="https://aci.health.nsw.gov.au/virtual-care-in-practice/implement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hpra.gov.au/Resources/Information-for-practitioners-who-provide-virtual-care.aspx" TargetMode="External"/><Relationship Id="rId22" Type="http://schemas.openxmlformats.org/officeDocument/2006/relationships/hyperlink" Target="https://www.safetyandquality.gov.au/standards/nsqhs-standards/recognising-and-responding-acute-deterioration-standard"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07ADAE8EBB2247AA81344CDE4E6E5C" ma:contentTypeVersion="13" ma:contentTypeDescription="Create a new document." ma:contentTypeScope="" ma:versionID="536361cb631bf0b5e87f42d57e67e5dc">
  <xsd:schema xmlns:xsd="http://www.w3.org/2001/XMLSchema" xmlns:xs="http://www.w3.org/2001/XMLSchema" xmlns:p="http://schemas.microsoft.com/office/2006/metadata/properties" xmlns:ns2="d567775c-3a20-4032-befc-41815fa63248" xmlns:ns3="b03a0273-6752-4dea-a034-8d7c79120899" targetNamespace="http://schemas.microsoft.com/office/2006/metadata/properties" ma:root="true" ma:fieldsID="71b28eddd113e840aaa5a075b37fc439" ns2:_="" ns3:_="">
    <xsd:import namespace="d567775c-3a20-4032-befc-41815fa63248"/>
    <xsd:import namespace="b03a0273-6752-4dea-a034-8d7c79120899"/>
    <xsd:element name="properties">
      <xsd:complexType>
        <xsd:sequence>
          <xsd:element name="documentManagement">
            <xsd:complexType>
              <xsd:all>
                <xsd:element ref="ns2:MediaServiceAutoKeyPoints" minOccurs="0"/>
                <xsd:element ref="ns2:MediaServiceKeyPoints" minOccurs="0"/>
                <xsd:element ref="ns2:MediaServiceOCR" minOccurs="0"/>
                <xsd:element ref="ns3:SharedWithUsers" minOccurs="0"/>
                <xsd:element ref="ns3:SharedWithDetails" minOccurs="0"/>
                <xsd:element ref="ns2:Complete" minOccurs="0"/>
                <xsd:element ref="ns2:MediaServiceLocation" minOccurs="0"/>
                <xsd:element ref="ns2:MediaServiceSearchProperties" minOccurs="0"/>
                <xsd:element ref="ns2:MediaServiceObjectDetectorVersions"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7775c-3a20-4032-befc-41815fa63248" elementFormDefault="qualified">
    <xsd:import namespace="http://schemas.microsoft.com/office/2006/documentManagement/types"/>
    <xsd:import namespace="http://schemas.microsoft.com/office/infopath/2007/PartnerControls"/>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OCR" ma:index="10" nillable="true" ma:displayName="Extracted Text" ma:internalName="MediaServiceOCR" ma:readOnly="true">
      <xsd:simpleType>
        <xsd:restriction base="dms:Note">
          <xsd:maxLength value="255"/>
        </xsd:restriction>
      </xsd:simpleType>
    </xsd:element>
    <xsd:element name="Complete" ma:index="13" nillable="true" ma:displayName="Complete" ma:default="1" ma:format="Dropdown" ma:internalName="Complete">
      <xsd:simpleType>
        <xsd:restriction base="dms:Boolean"/>
      </xsd:simpleType>
    </xsd:element>
    <xsd:element name="MediaServiceLocation" ma:index="14" nillable="true" ma:displayName="Location"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486e9e1-ed01-4902-a83f-e19ea9cbd59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03a0273-6752-4dea-a034-8d7c7912089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fc7097b-407c-4e10-81c0-d264659b315c}" ma:internalName="TaxCatchAll" ma:showField="CatchAllData" ma:web="b03a0273-6752-4dea-a034-8d7c791208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03a0273-6752-4dea-a034-8d7c79120899" xsi:nil="true"/>
    <lcf76f155ced4ddcb4097134ff3c332f xmlns="d567775c-3a20-4032-befc-41815fa63248">
      <Terms xmlns="http://schemas.microsoft.com/office/infopath/2007/PartnerControls"/>
    </lcf76f155ced4ddcb4097134ff3c332f>
    <Complete xmlns="d567775c-3a20-4032-befc-41815fa63248">true</Complete>
  </documentManagement>
</p:properties>
</file>

<file path=customXml/itemProps1.xml><?xml version="1.0" encoding="utf-8"?>
<ds:datastoreItem xmlns:ds="http://schemas.openxmlformats.org/officeDocument/2006/customXml" ds:itemID="{EA7AA433-7112-4C51-B798-DD670F5FA3CB}">
  <ds:schemaRefs>
    <ds:schemaRef ds:uri="http://schemas.microsoft.com/sharepoint/v3/contenttype/forms"/>
  </ds:schemaRefs>
</ds:datastoreItem>
</file>

<file path=customXml/itemProps2.xml><?xml version="1.0" encoding="utf-8"?>
<ds:datastoreItem xmlns:ds="http://schemas.openxmlformats.org/officeDocument/2006/customXml" ds:itemID="{D530E23F-F8F7-4A24-BE3A-422A2A2D9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7775c-3a20-4032-befc-41815fa63248"/>
    <ds:schemaRef ds:uri="b03a0273-6752-4dea-a034-8d7c79120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1120E5-ECA7-4499-9CCE-2AA110C92F62}">
  <ds:schemaRefs>
    <ds:schemaRef ds:uri="http://schemas.microsoft.com/office/2006/metadata/properties"/>
    <ds:schemaRef ds:uri="http://schemas.microsoft.com/office/infopath/2007/PartnerControls"/>
    <ds:schemaRef ds:uri="b03a0273-6752-4dea-a034-8d7c79120899"/>
    <ds:schemaRef ds:uri="d567775c-3a20-4032-befc-41815fa63248"/>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7249</Words>
  <Characters>45455</Characters>
  <Application>Microsoft Office Word</Application>
  <DocSecurity>0</DocSecurity>
  <Lines>1336</Lines>
  <Paragraphs>924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 Warwick</dc:creator>
  <cp:keywords/>
  <dc:description/>
  <cp:lastModifiedBy>Jenae Carroll</cp:lastModifiedBy>
  <cp:revision>7</cp:revision>
  <dcterms:created xsi:type="dcterms:W3CDTF">2026-01-20T05:51:00Z</dcterms:created>
  <dcterms:modified xsi:type="dcterms:W3CDTF">2026-01-20T06:04:00Z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0x0101008507ADAE8EBB2247AA81344CDE4E6E5C</vt:lpwstr>
  </property>
  <property fmtid="{D5CDD505-2E9C-101B-9397-08002B2CF9AE}" pid="3" name="MediaServiceImageTags">
    <vt:lpwstr/>
  </property>
</Properties>
</file>