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E5DA8" w14:textId="36A6FDE9" w:rsidR="00BB64C0" w:rsidRPr="003E1AD0" w:rsidRDefault="00BB64C0" w:rsidP="003E1AD0">
      <w:pPr>
        <w:pStyle w:val="Heading1"/>
        <w:spacing w:line="240" w:lineRule="auto"/>
        <w:rPr>
          <w:color w:val="0E2841" w:themeColor="text2"/>
        </w:rPr>
      </w:pPr>
      <w:bookmarkStart w:id="0" w:name="_Toc219805104"/>
      <w:bookmarkStart w:id="1" w:name="_Toc223004231"/>
      <w:r w:rsidRPr="003E1AD0">
        <w:rPr>
          <w:color w:val="0E2841" w:themeColor="text2"/>
        </w:rPr>
        <w:t>Virtual Care Roll-out Project Plan</w:t>
      </w:r>
      <w:bookmarkEnd w:id="1"/>
    </w:p>
    <w:p w14:paraId="131BBA98" w14:textId="3E92B6D6" w:rsidR="00BB64C0" w:rsidRPr="00B73659" w:rsidRDefault="00BB64C0" w:rsidP="003E1AD0">
      <w:pPr>
        <w:pStyle w:val="Heading1"/>
        <w:spacing w:line="240" w:lineRule="auto"/>
        <w:rPr>
          <w:sz w:val="20"/>
          <w:szCs w:val="20"/>
        </w:rPr>
      </w:pPr>
      <w:bookmarkStart w:id="2" w:name="_Toc223004232"/>
      <w:r w:rsidRPr="003E1AD0">
        <w:rPr>
          <w:color w:val="0E2841" w:themeColor="text2"/>
        </w:rPr>
        <w:t>Residential Aged Care</w:t>
      </w:r>
      <w:bookmarkEnd w:id="2"/>
      <w:r w:rsidR="00B73659">
        <w:rPr>
          <w:color w:val="0E2841" w:themeColor="text2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73659" w:rsidRPr="005871E5" w14:paraId="37D7A7B0" w14:textId="77777777" w:rsidTr="006B79F5">
        <w:tc>
          <w:tcPr>
            <w:tcW w:w="4320" w:type="dxa"/>
            <w:vAlign w:val="center"/>
          </w:tcPr>
          <w:p w14:paraId="2ACFB797" w14:textId="77777777" w:rsidR="00B73659" w:rsidRPr="005871E5" w:rsidRDefault="00B73659" w:rsidP="006B79F5">
            <w:pPr>
              <w:rPr>
                <w:color w:val="0E2841" w:themeColor="text2"/>
                <w:szCs w:val="22"/>
              </w:rPr>
            </w:pPr>
            <w:r w:rsidRPr="005871E5">
              <w:rPr>
                <w:color w:val="0E2841" w:themeColor="text2"/>
                <w:szCs w:val="22"/>
              </w:rPr>
              <w:t>Customer</w:t>
            </w:r>
          </w:p>
        </w:tc>
        <w:tc>
          <w:tcPr>
            <w:tcW w:w="4320" w:type="dxa"/>
            <w:vAlign w:val="center"/>
          </w:tcPr>
          <w:p w14:paraId="7DC2DE50" w14:textId="77777777" w:rsidR="00B73659" w:rsidRPr="005871E5" w:rsidRDefault="00B73659" w:rsidP="006B79F5">
            <w:pPr>
              <w:rPr>
                <w:color w:val="0E2841" w:themeColor="text2"/>
                <w:szCs w:val="22"/>
              </w:rPr>
            </w:pPr>
            <w:r w:rsidRPr="005871E5">
              <w:rPr>
                <w:color w:val="0E2841" w:themeColor="text2"/>
                <w:szCs w:val="22"/>
              </w:rPr>
              <w:t>[Aged Care Provider]</w:t>
            </w:r>
          </w:p>
        </w:tc>
      </w:tr>
      <w:tr w:rsidR="00B73659" w:rsidRPr="005871E5" w14:paraId="451FDBAC" w14:textId="77777777" w:rsidTr="006B79F5">
        <w:tc>
          <w:tcPr>
            <w:tcW w:w="4320" w:type="dxa"/>
            <w:vAlign w:val="center"/>
          </w:tcPr>
          <w:p w14:paraId="6748D1E4" w14:textId="77777777" w:rsidR="00B73659" w:rsidRPr="005871E5" w:rsidRDefault="00B73659" w:rsidP="006B79F5">
            <w:pPr>
              <w:rPr>
                <w:color w:val="0E2841" w:themeColor="text2"/>
                <w:szCs w:val="22"/>
              </w:rPr>
            </w:pPr>
            <w:r w:rsidRPr="005871E5">
              <w:rPr>
                <w:color w:val="0E2841" w:themeColor="text2"/>
                <w:szCs w:val="22"/>
              </w:rPr>
              <w:t>Home / Facility</w:t>
            </w:r>
          </w:p>
        </w:tc>
        <w:tc>
          <w:tcPr>
            <w:tcW w:w="4320" w:type="dxa"/>
            <w:vAlign w:val="center"/>
          </w:tcPr>
          <w:p w14:paraId="6FA9188D" w14:textId="77777777" w:rsidR="00B73659" w:rsidRPr="005871E5" w:rsidRDefault="00B73659" w:rsidP="006B79F5">
            <w:pPr>
              <w:rPr>
                <w:color w:val="0E2841" w:themeColor="text2"/>
                <w:szCs w:val="22"/>
              </w:rPr>
            </w:pPr>
            <w:r w:rsidRPr="005871E5">
              <w:rPr>
                <w:color w:val="0E2841" w:themeColor="text2"/>
                <w:szCs w:val="22"/>
              </w:rPr>
              <w:t>[RACH name]</w:t>
            </w:r>
          </w:p>
        </w:tc>
      </w:tr>
      <w:tr w:rsidR="00B73659" w:rsidRPr="005871E5" w14:paraId="33B872B4" w14:textId="77777777" w:rsidTr="006B79F5">
        <w:tc>
          <w:tcPr>
            <w:tcW w:w="4320" w:type="dxa"/>
            <w:vAlign w:val="center"/>
          </w:tcPr>
          <w:p w14:paraId="723B3876" w14:textId="77777777" w:rsidR="00B73659" w:rsidRPr="005871E5" w:rsidRDefault="00B73659" w:rsidP="006B79F5">
            <w:pPr>
              <w:rPr>
                <w:color w:val="0E2841" w:themeColor="text2"/>
                <w:szCs w:val="22"/>
              </w:rPr>
            </w:pPr>
            <w:r w:rsidRPr="005871E5">
              <w:rPr>
                <w:color w:val="0E2841" w:themeColor="text2"/>
                <w:szCs w:val="22"/>
              </w:rPr>
              <w:t>Care model</w:t>
            </w:r>
          </w:p>
        </w:tc>
        <w:tc>
          <w:tcPr>
            <w:tcW w:w="4320" w:type="dxa"/>
            <w:vAlign w:val="center"/>
          </w:tcPr>
          <w:p w14:paraId="64F2050B" w14:textId="77777777" w:rsidR="00B73659" w:rsidRPr="005871E5" w:rsidRDefault="00B73659" w:rsidP="006B79F5">
            <w:pPr>
              <w:rPr>
                <w:color w:val="0E2841" w:themeColor="text2"/>
                <w:szCs w:val="22"/>
              </w:rPr>
            </w:pPr>
            <w:r w:rsidRPr="005871E5">
              <w:rPr>
                <w:color w:val="0E2841" w:themeColor="text2"/>
                <w:szCs w:val="22"/>
              </w:rPr>
              <w:t>[Nurse-supported virtual care | GP rounds | Urgent reviews | Allied health | Mixed]</w:t>
            </w:r>
          </w:p>
        </w:tc>
      </w:tr>
      <w:tr w:rsidR="00B73659" w:rsidRPr="005871E5" w14:paraId="530D9B6E" w14:textId="77777777" w:rsidTr="006B79F5">
        <w:tc>
          <w:tcPr>
            <w:tcW w:w="4320" w:type="dxa"/>
            <w:vAlign w:val="center"/>
          </w:tcPr>
          <w:p w14:paraId="461538F5" w14:textId="77777777" w:rsidR="00B73659" w:rsidRPr="005871E5" w:rsidRDefault="00B73659" w:rsidP="006B79F5">
            <w:pPr>
              <w:rPr>
                <w:color w:val="0E2841" w:themeColor="text2"/>
                <w:szCs w:val="22"/>
              </w:rPr>
            </w:pPr>
            <w:r w:rsidRPr="005871E5">
              <w:rPr>
                <w:color w:val="0E2841" w:themeColor="text2"/>
                <w:szCs w:val="22"/>
              </w:rPr>
              <w:t>Version / Date</w:t>
            </w:r>
          </w:p>
        </w:tc>
        <w:tc>
          <w:tcPr>
            <w:tcW w:w="4320" w:type="dxa"/>
            <w:vAlign w:val="center"/>
          </w:tcPr>
          <w:p w14:paraId="3736F97A" w14:textId="77777777" w:rsidR="00B73659" w:rsidRPr="005871E5" w:rsidRDefault="00B73659" w:rsidP="006B79F5">
            <w:pPr>
              <w:rPr>
                <w:color w:val="0E2841" w:themeColor="text2"/>
                <w:szCs w:val="22"/>
              </w:rPr>
            </w:pPr>
            <w:r w:rsidRPr="005871E5">
              <w:rPr>
                <w:color w:val="0E2841" w:themeColor="text2"/>
                <w:szCs w:val="22"/>
              </w:rPr>
              <w:t>[v1.0, DD MMM YYYY]</w:t>
            </w:r>
          </w:p>
        </w:tc>
      </w:tr>
      <w:tr w:rsidR="00B73659" w:rsidRPr="005871E5" w14:paraId="525212F5" w14:textId="77777777" w:rsidTr="006B79F5">
        <w:tc>
          <w:tcPr>
            <w:tcW w:w="4320" w:type="dxa"/>
            <w:vAlign w:val="center"/>
          </w:tcPr>
          <w:p w14:paraId="4C10AA32" w14:textId="77777777" w:rsidR="00B73659" w:rsidRPr="005871E5" w:rsidRDefault="00B73659" w:rsidP="006B79F5">
            <w:pPr>
              <w:rPr>
                <w:color w:val="0E2841" w:themeColor="text2"/>
                <w:szCs w:val="22"/>
              </w:rPr>
            </w:pPr>
            <w:r w:rsidRPr="005871E5">
              <w:rPr>
                <w:color w:val="0E2841" w:themeColor="text2"/>
                <w:szCs w:val="22"/>
              </w:rPr>
              <w:t>Audience</w:t>
            </w:r>
          </w:p>
        </w:tc>
        <w:tc>
          <w:tcPr>
            <w:tcW w:w="4320" w:type="dxa"/>
            <w:vAlign w:val="center"/>
          </w:tcPr>
          <w:p w14:paraId="365E14D5" w14:textId="77777777" w:rsidR="00B73659" w:rsidRPr="005871E5" w:rsidRDefault="00B73659" w:rsidP="006B79F5">
            <w:pPr>
              <w:rPr>
                <w:color w:val="0E2841" w:themeColor="text2"/>
                <w:szCs w:val="22"/>
              </w:rPr>
            </w:pPr>
            <w:r w:rsidRPr="005871E5">
              <w:rPr>
                <w:color w:val="0E2841" w:themeColor="text2"/>
                <w:szCs w:val="22"/>
              </w:rPr>
              <w:t>Facility leadership, clinical leaders, IT, privacy, external providers, Visionflex</w:t>
            </w:r>
          </w:p>
        </w:tc>
      </w:tr>
    </w:tbl>
    <w:p w14:paraId="126AEB40" w14:textId="77777777" w:rsidR="00B73659" w:rsidRPr="003E1AD0" w:rsidRDefault="00B73659" w:rsidP="00BB64C0">
      <w:pPr>
        <w:rPr>
          <w:color w:val="0E2841" w:themeColor="text2"/>
        </w:rPr>
      </w:pPr>
    </w:p>
    <w:sdt>
      <w:sdtPr>
        <w:id w:val="-128314941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Cs/>
          <w:noProof/>
          <w:color w:val="auto"/>
          <w:kern w:val="2"/>
          <w:sz w:val="22"/>
          <w:szCs w:val="24"/>
          <w:lang w:val="en-AU"/>
          <w14:ligatures w14:val="standardContextual"/>
        </w:rPr>
      </w:sdtEndPr>
      <w:sdtContent>
        <w:p w14:paraId="03FD49C6" w14:textId="70F4D8CC" w:rsidR="00B73659" w:rsidRDefault="00B73659">
          <w:pPr>
            <w:pStyle w:val="TOCHeading"/>
          </w:pPr>
          <w:r>
            <w:t>Contents</w:t>
          </w:r>
        </w:p>
        <w:p w14:paraId="24F4714D" w14:textId="6541F69C" w:rsidR="00B73659" w:rsidRDefault="00B73659">
          <w:pPr>
            <w:pStyle w:val="TOC1"/>
            <w:rPr>
              <w:rFonts w:asciiTheme="minorHAnsi" w:eastAsiaTheme="minorEastAsia" w:hAnsiTheme="minorHAnsi"/>
              <w:color w:val="auto"/>
              <w:sz w:val="24"/>
              <w:szCs w:val="24"/>
              <w:lang w:eastAsia="en-A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3004233" w:history="1">
            <w:r w:rsidRPr="00813210">
              <w:rPr>
                <w:rStyle w:val="Hyperlink"/>
              </w:rPr>
              <w:t>Purpose and scope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_Toc223004233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64BFA945" w14:textId="5B3AA3B2" w:rsidR="00B73659" w:rsidRDefault="00B73659">
          <w:pPr>
            <w:pStyle w:val="TOC1"/>
            <w:rPr>
              <w:rFonts w:asciiTheme="minorHAnsi" w:eastAsiaTheme="minorEastAsia" w:hAnsiTheme="minorHAnsi"/>
              <w:color w:val="auto"/>
              <w:sz w:val="24"/>
              <w:szCs w:val="24"/>
              <w:lang w:eastAsia="en-AU"/>
            </w:rPr>
          </w:pPr>
          <w:hyperlink w:anchor="_Toc223004236" w:history="1">
            <w:r w:rsidRPr="00813210">
              <w:rPr>
                <w:rStyle w:val="Hyperlink"/>
              </w:rPr>
              <w:t>Success criteria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_Toc223004236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27CD99BB" w14:textId="5F7027A5" w:rsidR="00B73659" w:rsidRDefault="00B73659">
          <w:pPr>
            <w:pStyle w:val="TOC1"/>
            <w:rPr>
              <w:rFonts w:asciiTheme="minorHAnsi" w:eastAsiaTheme="minorEastAsia" w:hAnsiTheme="minorHAnsi"/>
              <w:color w:val="auto"/>
              <w:sz w:val="24"/>
              <w:szCs w:val="24"/>
              <w:lang w:eastAsia="en-AU"/>
            </w:rPr>
          </w:pPr>
          <w:hyperlink w:anchor="_Toc223004237" w:history="1">
            <w:r w:rsidRPr="00813210">
              <w:rPr>
                <w:rStyle w:val="Hyperlink"/>
              </w:rPr>
              <w:t>Governance and roles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_Toc223004237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360AA074" w14:textId="344222AB" w:rsidR="00B73659" w:rsidRDefault="00B73659">
          <w:pPr>
            <w:pStyle w:val="TOC1"/>
            <w:rPr>
              <w:rFonts w:asciiTheme="minorHAnsi" w:eastAsiaTheme="minorEastAsia" w:hAnsiTheme="minorHAnsi"/>
              <w:color w:val="auto"/>
              <w:sz w:val="24"/>
              <w:szCs w:val="24"/>
              <w:lang w:eastAsia="en-AU"/>
            </w:rPr>
          </w:pPr>
          <w:hyperlink w:anchor="_Toc223004239" w:history="1">
            <w:r w:rsidRPr="00813210">
              <w:rPr>
                <w:rStyle w:val="Hyperlink"/>
              </w:rPr>
              <w:t>Readiness assessment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_Toc223004239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50BA6379" w14:textId="66539F9B" w:rsidR="00B73659" w:rsidRDefault="00B73659">
          <w:pPr>
            <w:pStyle w:val="TOC1"/>
            <w:rPr>
              <w:rFonts w:asciiTheme="minorHAnsi" w:eastAsiaTheme="minorEastAsia" w:hAnsiTheme="minorHAnsi"/>
              <w:color w:val="auto"/>
              <w:sz w:val="24"/>
              <w:szCs w:val="24"/>
              <w:lang w:eastAsia="en-AU"/>
            </w:rPr>
          </w:pPr>
          <w:hyperlink w:anchor="_Toc223004240" w:history="1">
            <w:r w:rsidRPr="00813210">
              <w:rPr>
                <w:rStyle w:val="Hyperlink"/>
              </w:rPr>
              <w:t>Phase 1 use cases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_Toc223004240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1986F0ED" w14:textId="0C946067" w:rsidR="00B73659" w:rsidRDefault="00B73659">
          <w:pPr>
            <w:pStyle w:val="TOC1"/>
            <w:rPr>
              <w:rFonts w:asciiTheme="minorHAnsi" w:eastAsiaTheme="minorEastAsia" w:hAnsiTheme="minorHAnsi"/>
              <w:color w:val="auto"/>
              <w:sz w:val="24"/>
              <w:szCs w:val="24"/>
              <w:lang w:eastAsia="en-AU"/>
            </w:rPr>
          </w:pPr>
          <w:hyperlink w:anchor="_Toc223004241" w:history="1">
            <w:r w:rsidRPr="00813210">
              <w:rPr>
                <w:rStyle w:val="Hyperlink"/>
              </w:rPr>
              <w:t>Workflow design and sign-off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_Toc223004241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5A440334" w14:textId="515795DF" w:rsidR="00B73659" w:rsidRDefault="00B73659">
          <w:pPr>
            <w:pStyle w:val="TOC1"/>
            <w:rPr>
              <w:rFonts w:asciiTheme="minorHAnsi" w:eastAsiaTheme="minorEastAsia" w:hAnsiTheme="minorHAnsi"/>
              <w:color w:val="auto"/>
              <w:sz w:val="24"/>
              <w:szCs w:val="24"/>
              <w:lang w:eastAsia="en-AU"/>
            </w:rPr>
          </w:pPr>
          <w:hyperlink w:anchor="_Toc223004246" w:history="1">
            <w:r w:rsidRPr="00813210">
              <w:rPr>
                <w:rStyle w:val="Hyperlink"/>
              </w:rPr>
              <w:t>Technical deployment and validation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_Toc223004246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02E58FAC" w14:textId="0101BA11" w:rsidR="00B73659" w:rsidRDefault="00B73659">
          <w:pPr>
            <w:pStyle w:val="TOC1"/>
            <w:rPr>
              <w:rFonts w:asciiTheme="minorHAnsi" w:eastAsiaTheme="minorEastAsia" w:hAnsiTheme="minorHAnsi"/>
              <w:color w:val="auto"/>
              <w:sz w:val="24"/>
              <w:szCs w:val="24"/>
              <w:lang w:eastAsia="en-AU"/>
            </w:rPr>
          </w:pPr>
          <w:hyperlink w:anchor="_Toc223004249" w:history="1">
            <w:r w:rsidRPr="00813210">
              <w:rPr>
                <w:rStyle w:val="Hyperlink"/>
              </w:rPr>
              <w:t>Privacy, consent, and information handling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_Toc223004249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3BC55A9A" w14:textId="075560C3" w:rsidR="00B73659" w:rsidRDefault="00B73659">
          <w:pPr>
            <w:pStyle w:val="TOC1"/>
            <w:rPr>
              <w:rFonts w:asciiTheme="minorHAnsi" w:eastAsiaTheme="minorEastAsia" w:hAnsiTheme="minorHAnsi"/>
              <w:color w:val="auto"/>
              <w:sz w:val="24"/>
              <w:szCs w:val="24"/>
              <w:lang w:eastAsia="en-AU"/>
            </w:rPr>
          </w:pPr>
          <w:hyperlink w:anchor="_Toc223004250" w:history="1">
            <w:r w:rsidRPr="00813210">
              <w:rPr>
                <w:rStyle w:val="Hyperlink"/>
              </w:rPr>
              <w:t>Change management and communications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_Toc223004250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1D31AABB" w14:textId="1C9D2D17" w:rsidR="00B73659" w:rsidRDefault="00B73659">
          <w:pPr>
            <w:pStyle w:val="TOC1"/>
            <w:rPr>
              <w:rFonts w:asciiTheme="minorHAnsi" w:eastAsiaTheme="minorEastAsia" w:hAnsiTheme="minorHAnsi"/>
              <w:color w:val="auto"/>
              <w:sz w:val="24"/>
              <w:szCs w:val="24"/>
              <w:lang w:eastAsia="en-AU"/>
            </w:rPr>
          </w:pPr>
          <w:hyperlink w:anchor="_Toc223004251" w:history="1">
            <w:r w:rsidRPr="00813210">
              <w:rPr>
                <w:rStyle w:val="Hyperlink"/>
              </w:rPr>
              <w:t>Training and competency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_Toc223004251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156F77D1" w14:textId="6DF51756" w:rsidR="00B73659" w:rsidRDefault="00B73659">
          <w:pPr>
            <w:pStyle w:val="TOC1"/>
            <w:rPr>
              <w:rFonts w:asciiTheme="minorHAnsi" w:eastAsiaTheme="minorEastAsia" w:hAnsiTheme="minorHAnsi"/>
              <w:color w:val="auto"/>
              <w:sz w:val="24"/>
              <w:szCs w:val="24"/>
              <w:lang w:eastAsia="en-AU"/>
            </w:rPr>
          </w:pPr>
          <w:hyperlink w:anchor="_Toc223004252" w:history="1">
            <w:r w:rsidRPr="00813210">
              <w:rPr>
                <w:rStyle w:val="Hyperlink"/>
              </w:rPr>
              <w:t>Go-live and hypercare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_Toc223004252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5F00A2FE" w14:textId="7BE0C788" w:rsidR="00B73659" w:rsidRDefault="00B73659">
          <w:pPr>
            <w:pStyle w:val="TOC1"/>
            <w:rPr>
              <w:rFonts w:asciiTheme="minorHAnsi" w:eastAsiaTheme="minorEastAsia" w:hAnsiTheme="minorHAnsi"/>
              <w:color w:val="auto"/>
              <w:sz w:val="24"/>
              <w:szCs w:val="24"/>
              <w:lang w:eastAsia="en-AU"/>
            </w:rPr>
          </w:pPr>
          <w:hyperlink w:anchor="_Toc223004255" w:history="1">
            <w:r w:rsidRPr="00813210">
              <w:rPr>
                <w:rStyle w:val="Hyperlink"/>
              </w:rPr>
              <w:t>BAU operations and continuous improvement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_Toc223004255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3679CCA8" w14:textId="18822053" w:rsidR="00B73659" w:rsidRDefault="00B73659">
          <w:pPr>
            <w:pStyle w:val="TOC1"/>
            <w:rPr>
              <w:rFonts w:asciiTheme="minorHAnsi" w:eastAsiaTheme="minorEastAsia" w:hAnsiTheme="minorHAnsi"/>
              <w:color w:val="auto"/>
              <w:sz w:val="24"/>
              <w:szCs w:val="24"/>
              <w:lang w:eastAsia="en-AU"/>
            </w:rPr>
          </w:pPr>
          <w:hyperlink w:anchor="_Toc223004256" w:history="1">
            <w:r w:rsidRPr="00813210">
              <w:rPr>
                <w:rStyle w:val="Hyperlink"/>
              </w:rPr>
              <w:t>Sign-off record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_Toc223004256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79AD0F76" w14:textId="5DD0CE55" w:rsidR="00B73659" w:rsidRDefault="00B73659">
          <w:pPr>
            <w:pStyle w:val="TOC1"/>
            <w:rPr>
              <w:rFonts w:asciiTheme="minorHAnsi" w:eastAsiaTheme="minorEastAsia" w:hAnsiTheme="minorHAnsi"/>
              <w:color w:val="auto"/>
              <w:sz w:val="24"/>
              <w:szCs w:val="24"/>
              <w:lang w:eastAsia="en-AU"/>
            </w:rPr>
          </w:pPr>
          <w:hyperlink w:anchor="_Toc223004257" w:history="1">
            <w:r w:rsidRPr="00813210">
              <w:rPr>
                <w:rStyle w:val="Hyperlink"/>
              </w:rPr>
              <w:t>Useful references (optional)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_Toc223004257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7F37182D" w14:textId="44634DA2" w:rsidR="00B73659" w:rsidRDefault="00B73659">
          <w:pPr>
            <w:pStyle w:val="TOC1"/>
            <w:rPr>
              <w:rFonts w:asciiTheme="minorHAnsi" w:eastAsiaTheme="minorEastAsia" w:hAnsiTheme="minorHAnsi"/>
              <w:color w:val="auto"/>
              <w:sz w:val="24"/>
              <w:szCs w:val="24"/>
              <w:lang w:eastAsia="en-AU"/>
            </w:rPr>
          </w:pPr>
          <w:hyperlink w:anchor="_Toc223004258" w:history="1">
            <w:r w:rsidRPr="00813210">
              <w:rPr>
                <w:rStyle w:val="Hyperlink"/>
              </w:rPr>
              <w:t>References and useful resources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_Toc223004258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2703D7F8" w14:textId="30A62561" w:rsidR="00B73659" w:rsidRDefault="00B73659">
          <w:r>
            <w:rPr>
              <w:b/>
              <w:bCs/>
              <w:noProof/>
            </w:rPr>
            <w:fldChar w:fldCharType="end"/>
          </w:r>
        </w:p>
      </w:sdtContent>
    </w:sdt>
    <w:p w14:paraId="3D76A192" w14:textId="363669B4" w:rsidR="00BB64C0" w:rsidRPr="003E1AD0" w:rsidRDefault="00BB64C0" w:rsidP="00BB64C0">
      <w:pPr>
        <w:pStyle w:val="Heading1"/>
        <w:rPr>
          <w:rFonts w:asciiTheme="minorHAnsi" w:hAnsiTheme="minorHAnsi"/>
          <w:color w:val="0E2841" w:themeColor="text2"/>
        </w:rPr>
      </w:pPr>
      <w:bookmarkStart w:id="3" w:name="_Toc223004233"/>
      <w:r w:rsidRPr="003E1AD0">
        <w:rPr>
          <w:rFonts w:asciiTheme="minorHAnsi" w:hAnsiTheme="minorHAnsi"/>
          <w:color w:val="0E2841" w:themeColor="text2"/>
        </w:rPr>
        <w:lastRenderedPageBreak/>
        <w:t>Purpose and scope</w:t>
      </w:r>
      <w:bookmarkEnd w:id="3"/>
    </w:p>
    <w:p w14:paraId="0B21333C" w14:textId="77777777" w:rsidR="00BB64C0" w:rsidRPr="003E1AD0" w:rsidRDefault="00BB64C0" w:rsidP="00BB64C0">
      <w:pPr>
        <w:rPr>
          <w:color w:val="0E2841" w:themeColor="text2"/>
        </w:rPr>
      </w:pPr>
      <w:r w:rsidRPr="003E1AD0">
        <w:rPr>
          <w:color w:val="0E2841" w:themeColor="text2"/>
        </w:rPr>
        <w:t>This plan guides the deployment of Visionflex Virtual Care technology in a residential aged care home (RACH). It focuses on making Phase 1 use cases safe, repeatable, and easy to run in day-to-day operations.</w:t>
      </w:r>
    </w:p>
    <w:p w14:paraId="13B74C6E" w14:textId="77777777" w:rsidR="00BB64C0" w:rsidRPr="003E1AD0" w:rsidRDefault="00BB64C0" w:rsidP="00BB64C0">
      <w:pPr>
        <w:rPr>
          <w:color w:val="0E2841" w:themeColor="text2"/>
        </w:rPr>
      </w:pPr>
      <w:r w:rsidRPr="003E1AD0">
        <w:rPr>
          <w:color w:val="0E2841" w:themeColor="text2"/>
        </w:rPr>
        <w:t>This plan provides implementation guidance only. It does not replace clinical judgement, professional standards, or local organisational policy.</w:t>
      </w:r>
    </w:p>
    <w:p w14:paraId="79FBE44F" w14:textId="77777777" w:rsidR="00BB64C0" w:rsidRPr="003E1AD0" w:rsidRDefault="00BB64C0" w:rsidP="00BB64C0">
      <w:pPr>
        <w:rPr>
          <w:color w:val="0E2841" w:themeColor="text2"/>
        </w:rPr>
      </w:pPr>
    </w:p>
    <w:p w14:paraId="4F72AE6C" w14:textId="77777777" w:rsidR="00BB64C0" w:rsidRPr="003E1AD0" w:rsidRDefault="00BB64C0" w:rsidP="00BB64C0">
      <w:pPr>
        <w:pStyle w:val="Heading2"/>
        <w:rPr>
          <w:rFonts w:asciiTheme="minorHAnsi" w:hAnsiTheme="minorHAnsi"/>
          <w:color w:val="0E2841" w:themeColor="text2"/>
        </w:rPr>
      </w:pPr>
      <w:bookmarkStart w:id="4" w:name="_Toc223004234"/>
      <w:r w:rsidRPr="003E1AD0">
        <w:rPr>
          <w:rFonts w:asciiTheme="minorHAnsi" w:hAnsiTheme="minorHAnsi"/>
          <w:color w:val="0E2841" w:themeColor="text2"/>
        </w:rPr>
        <w:t>In scope</w:t>
      </w:r>
      <w:bookmarkEnd w:id="4"/>
    </w:p>
    <w:p w14:paraId="7D9A4BA8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Agree Phase 1 workflows for selected use cases, including escalation and failover.</w:t>
      </w:r>
    </w:p>
    <w:p w14:paraId="235577D9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Deploy and validate the technical solution (connectivity, access, peripherals, updates).</w:t>
      </w:r>
    </w:p>
    <w:p w14:paraId="20E39793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 xml:space="preserve">Train staff and external </w:t>
      </w:r>
      <w:proofErr w:type="gramStart"/>
      <w:r w:rsidRPr="003E1AD0">
        <w:rPr>
          <w:rFonts w:asciiTheme="minorHAnsi" w:hAnsiTheme="minorHAnsi"/>
          <w:color w:val="0E2841" w:themeColor="text2"/>
        </w:rPr>
        <w:t>providers, and</w:t>
      </w:r>
      <w:proofErr w:type="gramEnd"/>
      <w:r w:rsidRPr="003E1AD0">
        <w:rPr>
          <w:rFonts w:asciiTheme="minorHAnsi" w:hAnsiTheme="minorHAnsi"/>
          <w:color w:val="0E2841" w:themeColor="text2"/>
        </w:rPr>
        <w:t xml:space="preserve"> confirm basic competency.</w:t>
      </w:r>
    </w:p>
    <w:p w14:paraId="563AB0C7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Implement privacy and consent processes in routine practice.</w:t>
      </w:r>
    </w:p>
    <w:p w14:paraId="249C9BFC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 xml:space="preserve">Go-live and </w:t>
      </w:r>
      <w:proofErr w:type="spellStart"/>
      <w:r w:rsidRPr="003E1AD0">
        <w:rPr>
          <w:rFonts w:asciiTheme="minorHAnsi" w:hAnsiTheme="minorHAnsi"/>
          <w:color w:val="0E2841" w:themeColor="text2"/>
        </w:rPr>
        <w:t>hypercare</w:t>
      </w:r>
      <w:proofErr w:type="spellEnd"/>
      <w:r w:rsidRPr="003E1AD0">
        <w:rPr>
          <w:rFonts w:asciiTheme="minorHAnsi" w:hAnsiTheme="minorHAnsi"/>
          <w:color w:val="0E2841" w:themeColor="text2"/>
        </w:rPr>
        <w:t xml:space="preserve"> support, then transition to business as usual (BAU) operations.</w:t>
      </w:r>
    </w:p>
    <w:p w14:paraId="2718D649" w14:textId="77777777" w:rsidR="00BB64C0" w:rsidRPr="003E1AD0" w:rsidRDefault="00BB64C0" w:rsidP="00BB64C0">
      <w:pPr>
        <w:rPr>
          <w:color w:val="0E2841" w:themeColor="text2"/>
        </w:rPr>
      </w:pPr>
    </w:p>
    <w:p w14:paraId="7EE169C9" w14:textId="77777777" w:rsidR="00BB64C0" w:rsidRPr="003E1AD0" w:rsidRDefault="00BB64C0" w:rsidP="00BB64C0">
      <w:pPr>
        <w:pStyle w:val="Heading2"/>
        <w:rPr>
          <w:rFonts w:asciiTheme="minorHAnsi" w:hAnsiTheme="minorHAnsi"/>
          <w:color w:val="0E2841" w:themeColor="text2"/>
        </w:rPr>
      </w:pPr>
      <w:bookmarkStart w:id="5" w:name="_Toc223004235"/>
      <w:r w:rsidRPr="003E1AD0">
        <w:rPr>
          <w:rFonts w:asciiTheme="minorHAnsi" w:hAnsiTheme="minorHAnsi"/>
          <w:color w:val="0E2841" w:themeColor="text2"/>
        </w:rPr>
        <w:t>Out of scope unless added</w:t>
      </w:r>
      <w:bookmarkEnd w:id="5"/>
    </w:p>
    <w:p w14:paraId="28A437DC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Commissioning a new clinical service or workforce model.</w:t>
      </w:r>
    </w:p>
    <w:p w14:paraId="3EFFC5DE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Internet procurement or network redesign beyond local troubleshooting and coverage improvements.</w:t>
      </w:r>
    </w:p>
    <w:p w14:paraId="7556B268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Changes to the resident clinical system or formal EHR integration work (unless agreed).</w:t>
      </w:r>
    </w:p>
    <w:p w14:paraId="1A073B0A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Clinical policy development outside the virtual care workflows in this plan.</w:t>
      </w:r>
    </w:p>
    <w:p w14:paraId="2270C0D5" w14:textId="77777777" w:rsidR="00BB64C0" w:rsidRPr="003E1AD0" w:rsidRDefault="00BB64C0" w:rsidP="00BB64C0">
      <w:pPr>
        <w:rPr>
          <w:color w:val="0E2841" w:themeColor="text2"/>
        </w:rPr>
      </w:pPr>
    </w:p>
    <w:p w14:paraId="5AA268D2" w14:textId="77777777" w:rsidR="00BB64C0" w:rsidRPr="003E1AD0" w:rsidRDefault="00BB64C0" w:rsidP="00BB64C0">
      <w:pPr>
        <w:pStyle w:val="Heading1"/>
        <w:rPr>
          <w:rFonts w:asciiTheme="minorHAnsi" w:hAnsiTheme="minorHAnsi"/>
          <w:color w:val="0E2841" w:themeColor="text2"/>
        </w:rPr>
      </w:pPr>
      <w:bookmarkStart w:id="6" w:name="_Toc223004236"/>
      <w:r w:rsidRPr="003E1AD0">
        <w:rPr>
          <w:rFonts w:asciiTheme="minorHAnsi" w:hAnsiTheme="minorHAnsi"/>
          <w:color w:val="0E2841" w:themeColor="text2"/>
        </w:rPr>
        <w:t>Success criteria</w:t>
      </w:r>
      <w:bookmarkEnd w:id="6"/>
    </w:p>
    <w:p w14:paraId="239C1808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The home can run each Phase 1 use case end-to-end using the agreed workflow and escalation pathway, with Clinical Lead sign-off.</w:t>
      </w:r>
    </w:p>
    <w:p w14:paraId="3652B948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Key roles complete training and a short competency check appropriate to their role.</w:t>
      </w:r>
    </w:p>
    <w:p w14:paraId="1E9AD8D9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Consent, privacy, and information handling steps are implemented and documented.</w:t>
      </w:r>
    </w:p>
    <w:p w14:paraId="357DC091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A 30 and 90-day review cadence is established with actions to improve adoption and outcomes.</w:t>
      </w:r>
    </w:p>
    <w:p w14:paraId="34515C4F" w14:textId="77777777" w:rsidR="00BB64C0" w:rsidRPr="003E1AD0" w:rsidRDefault="00BB64C0" w:rsidP="00BB64C0">
      <w:pPr>
        <w:rPr>
          <w:color w:val="0E2841" w:themeColor="text2"/>
        </w:rPr>
      </w:pPr>
    </w:p>
    <w:p w14:paraId="304F102D" w14:textId="77777777" w:rsidR="00BB64C0" w:rsidRPr="003E1AD0" w:rsidRDefault="00BB64C0" w:rsidP="00BB64C0">
      <w:pPr>
        <w:pStyle w:val="Heading1"/>
        <w:rPr>
          <w:rFonts w:asciiTheme="minorHAnsi" w:hAnsiTheme="minorHAnsi"/>
          <w:color w:val="0E2841" w:themeColor="text2"/>
        </w:rPr>
      </w:pPr>
      <w:bookmarkStart w:id="7" w:name="_Toc223004237"/>
      <w:r w:rsidRPr="003E1AD0">
        <w:rPr>
          <w:rFonts w:asciiTheme="minorHAnsi" w:hAnsiTheme="minorHAnsi"/>
          <w:color w:val="0E2841" w:themeColor="text2"/>
        </w:rPr>
        <w:lastRenderedPageBreak/>
        <w:t>Governance and roles</w:t>
      </w:r>
      <w:bookmarkEnd w:id="7"/>
    </w:p>
    <w:p w14:paraId="642C6124" w14:textId="77777777" w:rsidR="00BB64C0" w:rsidRPr="003E1AD0" w:rsidRDefault="00BB64C0" w:rsidP="00BB64C0">
      <w:pPr>
        <w:rPr>
          <w:color w:val="0E2841" w:themeColor="text2"/>
        </w:rPr>
      </w:pPr>
      <w:r w:rsidRPr="003E1AD0">
        <w:rPr>
          <w:color w:val="0E2841" w:themeColor="text2"/>
        </w:rPr>
        <w:t>Virtual care sits within the organisation’s clinical governance framework. Clinical leaders own the minimum safe workflow and escalation pathways. Executive leadership owns resourcing, risk oversight, and adoption.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3E1AD0" w:rsidRPr="003E1AD0" w14:paraId="2214D7FB" w14:textId="77777777" w:rsidTr="006B79F5">
        <w:tc>
          <w:tcPr>
            <w:tcW w:w="2160" w:type="dxa"/>
          </w:tcPr>
          <w:p w14:paraId="15979745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b/>
                <w:color w:val="0E2841" w:themeColor="text2"/>
              </w:rPr>
              <w:t>Role</w:t>
            </w:r>
          </w:p>
        </w:tc>
        <w:tc>
          <w:tcPr>
            <w:tcW w:w="2160" w:type="dxa"/>
          </w:tcPr>
          <w:p w14:paraId="7392E8D6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b/>
                <w:color w:val="0E2841" w:themeColor="text2"/>
              </w:rPr>
              <w:t>Name</w:t>
            </w:r>
          </w:p>
        </w:tc>
        <w:tc>
          <w:tcPr>
            <w:tcW w:w="2160" w:type="dxa"/>
          </w:tcPr>
          <w:p w14:paraId="65FB517A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b/>
                <w:color w:val="0E2841" w:themeColor="text2"/>
              </w:rPr>
              <w:t>Organisation</w:t>
            </w:r>
          </w:p>
        </w:tc>
        <w:tc>
          <w:tcPr>
            <w:tcW w:w="2160" w:type="dxa"/>
          </w:tcPr>
          <w:p w14:paraId="75719959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b/>
                <w:color w:val="0E2841" w:themeColor="text2"/>
              </w:rPr>
              <w:t>Responsibility summary</w:t>
            </w:r>
          </w:p>
        </w:tc>
      </w:tr>
      <w:tr w:rsidR="003E1AD0" w:rsidRPr="003E1AD0" w14:paraId="64D016FE" w14:textId="77777777" w:rsidTr="006B79F5">
        <w:tc>
          <w:tcPr>
            <w:tcW w:w="2160" w:type="dxa"/>
          </w:tcPr>
          <w:p w14:paraId="14AE7A59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Executive Sponsor</w:t>
            </w:r>
          </w:p>
        </w:tc>
        <w:tc>
          <w:tcPr>
            <w:tcW w:w="2160" w:type="dxa"/>
          </w:tcPr>
          <w:p w14:paraId="04986AB9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[Name]</w:t>
            </w:r>
          </w:p>
        </w:tc>
        <w:tc>
          <w:tcPr>
            <w:tcW w:w="2160" w:type="dxa"/>
          </w:tcPr>
          <w:p w14:paraId="6642EC22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Customer</w:t>
            </w:r>
          </w:p>
        </w:tc>
        <w:tc>
          <w:tcPr>
            <w:tcW w:w="2160" w:type="dxa"/>
          </w:tcPr>
          <w:p w14:paraId="3069C5A5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Accountable for resourcing, risk oversight, decision escalation</w:t>
            </w:r>
          </w:p>
        </w:tc>
      </w:tr>
      <w:tr w:rsidR="003E1AD0" w:rsidRPr="003E1AD0" w14:paraId="4B80CB60" w14:textId="77777777" w:rsidTr="006B79F5">
        <w:tc>
          <w:tcPr>
            <w:tcW w:w="2160" w:type="dxa"/>
          </w:tcPr>
          <w:p w14:paraId="1E0EF620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Project Lead</w:t>
            </w:r>
          </w:p>
        </w:tc>
        <w:tc>
          <w:tcPr>
            <w:tcW w:w="2160" w:type="dxa"/>
          </w:tcPr>
          <w:p w14:paraId="3F04FA06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[Name]</w:t>
            </w:r>
          </w:p>
        </w:tc>
        <w:tc>
          <w:tcPr>
            <w:tcW w:w="2160" w:type="dxa"/>
          </w:tcPr>
          <w:p w14:paraId="3CF88E33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Customer</w:t>
            </w:r>
          </w:p>
        </w:tc>
        <w:tc>
          <w:tcPr>
            <w:tcW w:w="2160" w:type="dxa"/>
          </w:tcPr>
          <w:p w14:paraId="26740216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Day-to-day coordination, timeline, RAID log, stakeholder comms</w:t>
            </w:r>
          </w:p>
        </w:tc>
      </w:tr>
      <w:tr w:rsidR="003E1AD0" w:rsidRPr="003E1AD0" w14:paraId="6AC43FE3" w14:textId="77777777" w:rsidTr="006B79F5">
        <w:tc>
          <w:tcPr>
            <w:tcW w:w="2160" w:type="dxa"/>
          </w:tcPr>
          <w:p w14:paraId="2707035C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Clinical Lead (DON/CCM)</w:t>
            </w:r>
          </w:p>
        </w:tc>
        <w:tc>
          <w:tcPr>
            <w:tcW w:w="2160" w:type="dxa"/>
          </w:tcPr>
          <w:p w14:paraId="53189FF6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[Name]</w:t>
            </w:r>
          </w:p>
        </w:tc>
        <w:tc>
          <w:tcPr>
            <w:tcW w:w="2160" w:type="dxa"/>
          </w:tcPr>
          <w:p w14:paraId="72BD7B67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Customer</w:t>
            </w:r>
          </w:p>
        </w:tc>
        <w:tc>
          <w:tcPr>
            <w:tcW w:w="2160" w:type="dxa"/>
          </w:tcPr>
          <w:p w14:paraId="6A3412DB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Workflow safety, escalation pathways, clinical sign-off</w:t>
            </w:r>
          </w:p>
        </w:tc>
      </w:tr>
      <w:tr w:rsidR="003E1AD0" w:rsidRPr="003E1AD0" w14:paraId="1578E357" w14:textId="77777777" w:rsidTr="006B79F5">
        <w:tc>
          <w:tcPr>
            <w:tcW w:w="2160" w:type="dxa"/>
          </w:tcPr>
          <w:p w14:paraId="05D3C9A0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Facility Manager</w:t>
            </w:r>
          </w:p>
        </w:tc>
        <w:tc>
          <w:tcPr>
            <w:tcW w:w="2160" w:type="dxa"/>
          </w:tcPr>
          <w:p w14:paraId="28EAB0A8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[Name]</w:t>
            </w:r>
          </w:p>
        </w:tc>
        <w:tc>
          <w:tcPr>
            <w:tcW w:w="2160" w:type="dxa"/>
          </w:tcPr>
          <w:p w14:paraId="4E87D2FB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Customer</w:t>
            </w:r>
          </w:p>
        </w:tc>
        <w:tc>
          <w:tcPr>
            <w:tcW w:w="2160" w:type="dxa"/>
          </w:tcPr>
          <w:p w14:paraId="4BB5B8A1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Operational readiness, staffing, space, storage, local escalation</w:t>
            </w:r>
          </w:p>
        </w:tc>
      </w:tr>
      <w:tr w:rsidR="003E1AD0" w:rsidRPr="003E1AD0" w14:paraId="7471B088" w14:textId="77777777" w:rsidTr="006B79F5">
        <w:tc>
          <w:tcPr>
            <w:tcW w:w="2160" w:type="dxa"/>
          </w:tcPr>
          <w:p w14:paraId="59B634D4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IT Lead</w:t>
            </w:r>
          </w:p>
        </w:tc>
        <w:tc>
          <w:tcPr>
            <w:tcW w:w="2160" w:type="dxa"/>
          </w:tcPr>
          <w:p w14:paraId="3E159A02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[Name]</w:t>
            </w:r>
          </w:p>
        </w:tc>
        <w:tc>
          <w:tcPr>
            <w:tcW w:w="2160" w:type="dxa"/>
          </w:tcPr>
          <w:p w14:paraId="5DC21544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Customer</w:t>
            </w:r>
          </w:p>
        </w:tc>
        <w:tc>
          <w:tcPr>
            <w:tcW w:w="2160" w:type="dxa"/>
          </w:tcPr>
          <w:p w14:paraId="79B6CA09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Network, device access, security, patching, local IT escalation</w:t>
            </w:r>
          </w:p>
        </w:tc>
      </w:tr>
      <w:tr w:rsidR="003E1AD0" w:rsidRPr="003E1AD0" w14:paraId="152C5F42" w14:textId="77777777" w:rsidTr="006B79F5">
        <w:tc>
          <w:tcPr>
            <w:tcW w:w="2160" w:type="dxa"/>
          </w:tcPr>
          <w:p w14:paraId="488E3596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Privacy Officer (or delegate)</w:t>
            </w:r>
          </w:p>
        </w:tc>
        <w:tc>
          <w:tcPr>
            <w:tcW w:w="2160" w:type="dxa"/>
          </w:tcPr>
          <w:p w14:paraId="12AA8FCA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[Name]</w:t>
            </w:r>
          </w:p>
        </w:tc>
        <w:tc>
          <w:tcPr>
            <w:tcW w:w="2160" w:type="dxa"/>
          </w:tcPr>
          <w:p w14:paraId="345AF91F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Customer</w:t>
            </w:r>
          </w:p>
        </w:tc>
        <w:tc>
          <w:tcPr>
            <w:tcW w:w="2160" w:type="dxa"/>
          </w:tcPr>
          <w:p w14:paraId="2113F1B5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Consent and information handling, privacy risks</w:t>
            </w:r>
          </w:p>
        </w:tc>
      </w:tr>
      <w:tr w:rsidR="003E1AD0" w:rsidRPr="003E1AD0" w14:paraId="4404F9D8" w14:textId="77777777" w:rsidTr="006B79F5">
        <w:tc>
          <w:tcPr>
            <w:tcW w:w="2160" w:type="dxa"/>
          </w:tcPr>
          <w:p w14:paraId="624F2AC9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GP Liaison / Provider Liaison</w:t>
            </w:r>
          </w:p>
        </w:tc>
        <w:tc>
          <w:tcPr>
            <w:tcW w:w="2160" w:type="dxa"/>
          </w:tcPr>
          <w:p w14:paraId="1229499F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[Name]</w:t>
            </w:r>
          </w:p>
        </w:tc>
        <w:tc>
          <w:tcPr>
            <w:tcW w:w="2160" w:type="dxa"/>
          </w:tcPr>
          <w:p w14:paraId="54FA221E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Customer</w:t>
            </w:r>
          </w:p>
        </w:tc>
        <w:tc>
          <w:tcPr>
            <w:tcW w:w="2160" w:type="dxa"/>
          </w:tcPr>
          <w:p w14:paraId="1AFBAC12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Engage GPs and allied health, schedule test calls</w:t>
            </w:r>
          </w:p>
        </w:tc>
      </w:tr>
      <w:tr w:rsidR="003E1AD0" w:rsidRPr="003E1AD0" w14:paraId="7D9B3EF4" w14:textId="77777777" w:rsidTr="006B79F5">
        <w:tc>
          <w:tcPr>
            <w:tcW w:w="2160" w:type="dxa"/>
          </w:tcPr>
          <w:p w14:paraId="0DF19C01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Site Champions (min 2)</w:t>
            </w:r>
          </w:p>
        </w:tc>
        <w:tc>
          <w:tcPr>
            <w:tcW w:w="2160" w:type="dxa"/>
          </w:tcPr>
          <w:p w14:paraId="08FA7F40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[Names]</w:t>
            </w:r>
          </w:p>
        </w:tc>
        <w:tc>
          <w:tcPr>
            <w:tcW w:w="2160" w:type="dxa"/>
          </w:tcPr>
          <w:p w14:paraId="0CF06629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Customer</w:t>
            </w:r>
          </w:p>
        </w:tc>
        <w:tc>
          <w:tcPr>
            <w:tcW w:w="2160" w:type="dxa"/>
          </w:tcPr>
          <w:p w14:paraId="7D8BF74D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On-shift support, peer coaching, issue capture</w:t>
            </w:r>
          </w:p>
        </w:tc>
      </w:tr>
      <w:tr w:rsidR="003E1AD0" w:rsidRPr="003E1AD0" w14:paraId="28A2AAA2" w14:textId="77777777" w:rsidTr="006B79F5">
        <w:tc>
          <w:tcPr>
            <w:tcW w:w="2160" w:type="dxa"/>
          </w:tcPr>
          <w:p w14:paraId="47CB0BC1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Visionflex Implementation Lead</w:t>
            </w:r>
          </w:p>
        </w:tc>
        <w:tc>
          <w:tcPr>
            <w:tcW w:w="2160" w:type="dxa"/>
          </w:tcPr>
          <w:p w14:paraId="538EC15B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[Name]</w:t>
            </w:r>
          </w:p>
        </w:tc>
        <w:tc>
          <w:tcPr>
            <w:tcW w:w="2160" w:type="dxa"/>
          </w:tcPr>
          <w:p w14:paraId="269C9C86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Visionflex</w:t>
            </w:r>
          </w:p>
        </w:tc>
        <w:tc>
          <w:tcPr>
            <w:tcW w:w="2160" w:type="dxa"/>
          </w:tcPr>
          <w:p w14:paraId="612D79B3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Vendor delivery, enablement, issue triage</w:t>
            </w:r>
          </w:p>
        </w:tc>
      </w:tr>
    </w:tbl>
    <w:p w14:paraId="0378E431" w14:textId="77777777" w:rsidR="00BB64C0" w:rsidRPr="003E1AD0" w:rsidRDefault="00BB64C0" w:rsidP="00BB64C0">
      <w:pPr>
        <w:rPr>
          <w:color w:val="0E2841" w:themeColor="text2"/>
        </w:rPr>
      </w:pPr>
    </w:p>
    <w:p w14:paraId="4FD6EF63" w14:textId="77777777" w:rsidR="00BB64C0" w:rsidRPr="003E1AD0" w:rsidRDefault="00BB64C0" w:rsidP="00BB64C0">
      <w:pPr>
        <w:pStyle w:val="Heading2"/>
        <w:rPr>
          <w:rFonts w:asciiTheme="minorHAnsi" w:hAnsiTheme="minorHAnsi"/>
          <w:color w:val="0E2841" w:themeColor="text2"/>
        </w:rPr>
      </w:pPr>
      <w:bookmarkStart w:id="8" w:name="_Toc223004238"/>
      <w:r w:rsidRPr="003E1AD0">
        <w:rPr>
          <w:rFonts w:asciiTheme="minorHAnsi" w:hAnsiTheme="minorHAnsi"/>
          <w:color w:val="0E2841" w:themeColor="text2"/>
        </w:rPr>
        <w:lastRenderedPageBreak/>
        <w:t>Meeting cadence</w:t>
      </w:r>
      <w:bookmarkEnd w:id="8"/>
    </w:p>
    <w:p w14:paraId="03AA7CAA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Weekly implementation huddle (30 mins): Project Lead, Clinical Lead, IT Lead, Visionflex</w:t>
      </w:r>
    </w:p>
    <w:p w14:paraId="3E7D351D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Go-live readiness checkpoint (45 mins): end of Deploy and Train phase</w:t>
      </w:r>
    </w:p>
    <w:p w14:paraId="646B6B94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Hypercare check-ins (15 mins): daily for first week if high volume, otherwise twice weekly</w:t>
      </w:r>
    </w:p>
    <w:p w14:paraId="080B0900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 xml:space="preserve">30-day review (30 mins): adoption, issues, workflow </w:t>
      </w:r>
      <w:proofErr w:type="spellStart"/>
      <w:r w:rsidRPr="003E1AD0">
        <w:rPr>
          <w:rFonts w:asciiTheme="minorHAnsi" w:hAnsiTheme="minorHAnsi"/>
          <w:color w:val="0E2841" w:themeColor="text2"/>
        </w:rPr>
        <w:t>optimisation</w:t>
      </w:r>
      <w:proofErr w:type="spellEnd"/>
    </w:p>
    <w:p w14:paraId="2A64FE9F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90-day review (45 mins): outcomes, BAU embed, expansion use cases</w:t>
      </w:r>
    </w:p>
    <w:p w14:paraId="7F88E762" w14:textId="77777777" w:rsidR="00BB64C0" w:rsidRPr="003E1AD0" w:rsidRDefault="00BB64C0" w:rsidP="00BB64C0">
      <w:pPr>
        <w:rPr>
          <w:color w:val="0E2841" w:themeColor="text2"/>
        </w:rPr>
      </w:pPr>
    </w:p>
    <w:p w14:paraId="4221A1B3" w14:textId="77777777" w:rsidR="00BB64C0" w:rsidRPr="003E1AD0" w:rsidRDefault="00BB64C0" w:rsidP="00BB64C0">
      <w:pPr>
        <w:pStyle w:val="Heading1"/>
        <w:rPr>
          <w:rFonts w:asciiTheme="minorHAnsi" w:hAnsiTheme="minorHAnsi"/>
          <w:color w:val="0E2841" w:themeColor="text2"/>
        </w:rPr>
      </w:pPr>
      <w:bookmarkStart w:id="9" w:name="_Toc223004239"/>
      <w:r w:rsidRPr="003E1AD0">
        <w:rPr>
          <w:rFonts w:asciiTheme="minorHAnsi" w:hAnsiTheme="minorHAnsi"/>
          <w:color w:val="0E2841" w:themeColor="text2"/>
        </w:rPr>
        <w:t>Readiness assessment</w:t>
      </w:r>
      <w:bookmarkEnd w:id="9"/>
    </w:p>
    <w:p w14:paraId="1F4516B0" w14:textId="77777777" w:rsidR="00BB64C0" w:rsidRPr="003E1AD0" w:rsidRDefault="00BB64C0" w:rsidP="00BB64C0">
      <w:pPr>
        <w:rPr>
          <w:color w:val="0E2841" w:themeColor="text2"/>
        </w:rPr>
      </w:pPr>
      <w:r w:rsidRPr="003E1AD0">
        <w:rPr>
          <w:color w:val="0E2841" w:themeColor="text2"/>
        </w:rPr>
        <w:t>Readiness is assessed across key domains. Record status as Red, Amber, or Green, with actions and owners.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809"/>
        <w:gridCol w:w="1728"/>
        <w:gridCol w:w="1728"/>
        <w:gridCol w:w="1728"/>
      </w:tblGrid>
      <w:tr w:rsidR="003E1AD0" w:rsidRPr="003E1AD0" w14:paraId="7F2E5761" w14:textId="77777777" w:rsidTr="006B79F5">
        <w:tc>
          <w:tcPr>
            <w:tcW w:w="1728" w:type="dxa"/>
          </w:tcPr>
          <w:p w14:paraId="38841C6E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b/>
                <w:color w:val="0E2841" w:themeColor="text2"/>
              </w:rPr>
              <w:t>Domain</w:t>
            </w:r>
          </w:p>
        </w:tc>
        <w:tc>
          <w:tcPr>
            <w:tcW w:w="1728" w:type="dxa"/>
          </w:tcPr>
          <w:p w14:paraId="3F436E2B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b/>
                <w:color w:val="0E2841" w:themeColor="text2"/>
              </w:rPr>
              <w:t>What ready looks like</w:t>
            </w:r>
          </w:p>
        </w:tc>
        <w:tc>
          <w:tcPr>
            <w:tcW w:w="1728" w:type="dxa"/>
          </w:tcPr>
          <w:p w14:paraId="18E64908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b/>
                <w:color w:val="0E2841" w:themeColor="text2"/>
              </w:rPr>
              <w:t>Owner</w:t>
            </w:r>
          </w:p>
        </w:tc>
        <w:tc>
          <w:tcPr>
            <w:tcW w:w="1728" w:type="dxa"/>
          </w:tcPr>
          <w:p w14:paraId="558C707A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b/>
                <w:color w:val="0E2841" w:themeColor="text2"/>
              </w:rPr>
              <w:t>Status (R/A/G)</w:t>
            </w:r>
          </w:p>
        </w:tc>
        <w:tc>
          <w:tcPr>
            <w:tcW w:w="1728" w:type="dxa"/>
          </w:tcPr>
          <w:p w14:paraId="07C3D77C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b/>
                <w:color w:val="0E2841" w:themeColor="text2"/>
              </w:rPr>
              <w:t>Notes / actions</w:t>
            </w:r>
          </w:p>
        </w:tc>
      </w:tr>
      <w:tr w:rsidR="003E1AD0" w:rsidRPr="003E1AD0" w14:paraId="61B4074F" w14:textId="77777777" w:rsidTr="006B79F5">
        <w:tc>
          <w:tcPr>
            <w:tcW w:w="1728" w:type="dxa"/>
          </w:tcPr>
          <w:p w14:paraId="2FDB324E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Clinical workflow</w:t>
            </w:r>
          </w:p>
        </w:tc>
        <w:tc>
          <w:tcPr>
            <w:tcW w:w="1728" w:type="dxa"/>
          </w:tcPr>
          <w:p w14:paraId="07259CCD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Phase 1 workflows agreed, escalation and failover defined</w:t>
            </w:r>
          </w:p>
        </w:tc>
        <w:tc>
          <w:tcPr>
            <w:tcW w:w="1728" w:type="dxa"/>
          </w:tcPr>
          <w:p w14:paraId="48FD1C5E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Clinical Lead</w:t>
            </w:r>
          </w:p>
        </w:tc>
        <w:tc>
          <w:tcPr>
            <w:tcW w:w="1728" w:type="dxa"/>
          </w:tcPr>
          <w:p w14:paraId="31362F52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1728" w:type="dxa"/>
          </w:tcPr>
          <w:p w14:paraId="06C22938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</w:tr>
      <w:tr w:rsidR="003E1AD0" w:rsidRPr="003E1AD0" w14:paraId="74446E60" w14:textId="77777777" w:rsidTr="006B79F5">
        <w:tc>
          <w:tcPr>
            <w:tcW w:w="1728" w:type="dxa"/>
          </w:tcPr>
          <w:p w14:paraId="528943DB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People and change</w:t>
            </w:r>
          </w:p>
        </w:tc>
        <w:tc>
          <w:tcPr>
            <w:tcW w:w="1728" w:type="dxa"/>
          </w:tcPr>
          <w:p w14:paraId="76FD0072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Champions nominated, training time allocated</w:t>
            </w:r>
          </w:p>
        </w:tc>
        <w:tc>
          <w:tcPr>
            <w:tcW w:w="1728" w:type="dxa"/>
          </w:tcPr>
          <w:p w14:paraId="63071816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Project Lead</w:t>
            </w:r>
          </w:p>
        </w:tc>
        <w:tc>
          <w:tcPr>
            <w:tcW w:w="1728" w:type="dxa"/>
          </w:tcPr>
          <w:p w14:paraId="2233FBCE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1728" w:type="dxa"/>
          </w:tcPr>
          <w:p w14:paraId="3F4FD252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</w:tr>
      <w:tr w:rsidR="003E1AD0" w:rsidRPr="003E1AD0" w14:paraId="63D87985" w14:textId="77777777" w:rsidTr="006B79F5">
        <w:tc>
          <w:tcPr>
            <w:tcW w:w="1728" w:type="dxa"/>
          </w:tcPr>
          <w:p w14:paraId="004B49DF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Technical</w:t>
            </w:r>
          </w:p>
        </w:tc>
        <w:tc>
          <w:tcPr>
            <w:tcW w:w="1728" w:type="dxa"/>
          </w:tcPr>
          <w:p w14:paraId="635DA030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Network validated, access and accounts set, devices paired</w:t>
            </w:r>
          </w:p>
        </w:tc>
        <w:tc>
          <w:tcPr>
            <w:tcW w:w="1728" w:type="dxa"/>
          </w:tcPr>
          <w:p w14:paraId="19D749C7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IT Lead</w:t>
            </w:r>
          </w:p>
        </w:tc>
        <w:tc>
          <w:tcPr>
            <w:tcW w:w="1728" w:type="dxa"/>
          </w:tcPr>
          <w:p w14:paraId="73360E36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1728" w:type="dxa"/>
          </w:tcPr>
          <w:p w14:paraId="7BCC3349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</w:tr>
      <w:tr w:rsidR="003E1AD0" w:rsidRPr="003E1AD0" w14:paraId="7D262C3A" w14:textId="77777777" w:rsidTr="006B79F5">
        <w:tc>
          <w:tcPr>
            <w:tcW w:w="1728" w:type="dxa"/>
          </w:tcPr>
          <w:p w14:paraId="02BAC2DB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Privacy and consent</w:t>
            </w:r>
          </w:p>
        </w:tc>
        <w:tc>
          <w:tcPr>
            <w:tcW w:w="1728" w:type="dxa"/>
          </w:tcPr>
          <w:p w14:paraId="51D1EF60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Consent and information handling steps documented</w:t>
            </w:r>
          </w:p>
        </w:tc>
        <w:tc>
          <w:tcPr>
            <w:tcW w:w="1728" w:type="dxa"/>
          </w:tcPr>
          <w:p w14:paraId="7DD908F8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Privacy Officer</w:t>
            </w:r>
          </w:p>
        </w:tc>
        <w:tc>
          <w:tcPr>
            <w:tcW w:w="1728" w:type="dxa"/>
          </w:tcPr>
          <w:p w14:paraId="0A3A13CC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1728" w:type="dxa"/>
          </w:tcPr>
          <w:p w14:paraId="71163CC4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</w:tr>
      <w:tr w:rsidR="003E1AD0" w:rsidRPr="003E1AD0" w14:paraId="12B83811" w14:textId="77777777" w:rsidTr="006B79F5">
        <w:tc>
          <w:tcPr>
            <w:tcW w:w="1728" w:type="dxa"/>
          </w:tcPr>
          <w:p w14:paraId="3C7BA52E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External providers</w:t>
            </w:r>
          </w:p>
        </w:tc>
        <w:tc>
          <w:tcPr>
            <w:tcW w:w="1728" w:type="dxa"/>
          </w:tcPr>
          <w:p w14:paraId="6E7CB624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GPs and key providers invited, test calls booked</w:t>
            </w:r>
          </w:p>
        </w:tc>
        <w:tc>
          <w:tcPr>
            <w:tcW w:w="1728" w:type="dxa"/>
          </w:tcPr>
          <w:p w14:paraId="41647A84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GP Liaison</w:t>
            </w:r>
          </w:p>
        </w:tc>
        <w:tc>
          <w:tcPr>
            <w:tcW w:w="1728" w:type="dxa"/>
          </w:tcPr>
          <w:p w14:paraId="46BCE21C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1728" w:type="dxa"/>
          </w:tcPr>
          <w:p w14:paraId="573B22F0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</w:tr>
      <w:tr w:rsidR="003E1AD0" w:rsidRPr="003E1AD0" w14:paraId="398286CE" w14:textId="77777777" w:rsidTr="006B79F5">
        <w:tc>
          <w:tcPr>
            <w:tcW w:w="1728" w:type="dxa"/>
          </w:tcPr>
          <w:p w14:paraId="404BA6B6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Operations</w:t>
            </w:r>
          </w:p>
        </w:tc>
        <w:tc>
          <w:tcPr>
            <w:tcW w:w="1728" w:type="dxa"/>
          </w:tcPr>
          <w:p w14:paraId="31477959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 xml:space="preserve">Storage/charging location, cleaning process, </w:t>
            </w:r>
            <w:r w:rsidRPr="003E1AD0">
              <w:rPr>
                <w:color w:val="0E2841" w:themeColor="text2"/>
              </w:rPr>
              <w:lastRenderedPageBreak/>
              <w:t>booking process in place</w:t>
            </w:r>
          </w:p>
        </w:tc>
        <w:tc>
          <w:tcPr>
            <w:tcW w:w="1728" w:type="dxa"/>
          </w:tcPr>
          <w:p w14:paraId="1E070E05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lastRenderedPageBreak/>
              <w:t>Facility Manager</w:t>
            </w:r>
          </w:p>
        </w:tc>
        <w:tc>
          <w:tcPr>
            <w:tcW w:w="1728" w:type="dxa"/>
          </w:tcPr>
          <w:p w14:paraId="0FB1A29F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1728" w:type="dxa"/>
          </w:tcPr>
          <w:p w14:paraId="2CB86835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</w:tr>
    </w:tbl>
    <w:p w14:paraId="5F7A6699" w14:textId="77777777" w:rsidR="00BB64C0" w:rsidRPr="003E1AD0" w:rsidRDefault="00BB64C0" w:rsidP="00BB64C0">
      <w:pPr>
        <w:rPr>
          <w:color w:val="0E2841" w:themeColor="text2"/>
        </w:rPr>
      </w:pPr>
    </w:p>
    <w:p w14:paraId="75BEECA5" w14:textId="77777777" w:rsidR="00BB64C0" w:rsidRPr="003E1AD0" w:rsidRDefault="00BB64C0" w:rsidP="00BB64C0">
      <w:pPr>
        <w:pStyle w:val="Heading1"/>
        <w:rPr>
          <w:rFonts w:asciiTheme="minorHAnsi" w:hAnsiTheme="minorHAnsi"/>
          <w:color w:val="0E2841" w:themeColor="text2"/>
        </w:rPr>
      </w:pPr>
      <w:bookmarkStart w:id="10" w:name="_Toc223004240"/>
      <w:r w:rsidRPr="003E1AD0">
        <w:rPr>
          <w:rFonts w:asciiTheme="minorHAnsi" w:hAnsiTheme="minorHAnsi"/>
          <w:color w:val="0E2841" w:themeColor="text2"/>
        </w:rPr>
        <w:t>Phase 1 use cases</w:t>
      </w:r>
      <w:bookmarkEnd w:id="10"/>
    </w:p>
    <w:p w14:paraId="388979D1" w14:textId="77777777" w:rsidR="00BB64C0" w:rsidRPr="003E1AD0" w:rsidRDefault="00BB64C0" w:rsidP="00BB64C0">
      <w:pPr>
        <w:rPr>
          <w:color w:val="0E2841" w:themeColor="text2"/>
        </w:rPr>
      </w:pPr>
      <w:r w:rsidRPr="003E1AD0">
        <w:rPr>
          <w:color w:val="0E2841" w:themeColor="text2"/>
        </w:rPr>
        <w:t>Select up to three Phase 1 use cases. Keep them simple and repeatable.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3E1AD0" w:rsidRPr="003E1AD0" w14:paraId="351A4FAD" w14:textId="77777777" w:rsidTr="006B79F5">
        <w:tc>
          <w:tcPr>
            <w:tcW w:w="2160" w:type="dxa"/>
          </w:tcPr>
          <w:p w14:paraId="0D1314C8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b/>
                <w:color w:val="0E2841" w:themeColor="text2"/>
              </w:rPr>
              <w:t>Use case</w:t>
            </w:r>
          </w:p>
        </w:tc>
        <w:tc>
          <w:tcPr>
            <w:tcW w:w="2160" w:type="dxa"/>
          </w:tcPr>
          <w:p w14:paraId="3010E592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b/>
                <w:color w:val="0E2841" w:themeColor="text2"/>
              </w:rPr>
              <w:t>Description</w:t>
            </w:r>
          </w:p>
        </w:tc>
        <w:tc>
          <w:tcPr>
            <w:tcW w:w="2160" w:type="dxa"/>
          </w:tcPr>
          <w:p w14:paraId="1343CC43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b/>
                <w:color w:val="0E2841" w:themeColor="text2"/>
              </w:rPr>
              <w:t>Why it matters</w:t>
            </w:r>
          </w:p>
        </w:tc>
        <w:tc>
          <w:tcPr>
            <w:tcW w:w="2160" w:type="dxa"/>
          </w:tcPr>
          <w:p w14:paraId="2AFFDEFD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b/>
                <w:color w:val="0E2841" w:themeColor="text2"/>
              </w:rPr>
              <w:t>Constraints / notes</w:t>
            </w:r>
          </w:p>
        </w:tc>
      </w:tr>
      <w:tr w:rsidR="003E1AD0" w:rsidRPr="003E1AD0" w14:paraId="21F5E851" w14:textId="77777777" w:rsidTr="006B79F5">
        <w:tc>
          <w:tcPr>
            <w:tcW w:w="2160" w:type="dxa"/>
          </w:tcPr>
          <w:p w14:paraId="4D6F696D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UC1</w:t>
            </w:r>
          </w:p>
        </w:tc>
        <w:tc>
          <w:tcPr>
            <w:tcW w:w="2160" w:type="dxa"/>
          </w:tcPr>
          <w:p w14:paraId="462C62AC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[Example: Nurse-supported urgent GP review]</w:t>
            </w:r>
          </w:p>
        </w:tc>
        <w:tc>
          <w:tcPr>
            <w:tcW w:w="2160" w:type="dxa"/>
          </w:tcPr>
          <w:p w14:paraId="2FD245CA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2160" w:type="dxa"/>
          </w:tcPr>
          <w:p w14:paraId="30CC200A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</w:tr>
      <w:tr w:rsidR="003E1AD0" w:rsidRPr="003E1AD0" w14:paraId="770FCC52" w14:textId="77777777" w:rsidTr="006B79F5">
        <w:tc>
          <w:tcPr>
            <w:tcW w:w="2160" w:type="dxa"/>
          </w:tcPr>
          <w:p w14:paraId="71DE263E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UC2</w:t>
            </w:r>
          </w:p>
        </w:tc>
        <w:tc>
          <w:tcPr>
            <w:tcW w:w="2160" w:type="dxa"/>
          </w:tcPr>
          <w:p w14:paraId="726E08EA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[Example: Wound / skin review with external clinician]</w:t>
            </w:r>
          </w:p>
        </w:tc>
        <w:tc>
          <w:tcPr>
            <w:tcW w:w="2160" w:type="dxa"/>
          </w:tcPr>
          <w:p w14:paraId="0258E489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2160" w:type="dxa"/>
          </w:tcPr>
          <w:p w14:paraId="2744020F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</w:tr>
      <w:tr w:rsidR="003E1AD0" w:rsidRPr="003E1AD0" w14:paraId="4234E07F" w14:textId="77777777" w:rsidTr="006B79F5">
        <w:tc>
          <w:tcPr>
            <w:tcW w:w="2160" w:type="dxa"/>
          </w:tcPr>
          <w:p w14:paraId="341E5296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UC3</w:t>
            </w:r>
          </w:p>
        </w:tc>
        <w:tc>
          <w:tcPr>
            <w:tcW w:w="2160" w:type="dxa"/>
          </w:tcPr>
          <w:p w14:paraId="0A531472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[Example: Allied health consult or case conference]</w:t>
            </w:r>
          </w:p>
        </w:tc>
        <w:tc>
          <w:tcPr>
            <w:tcW w:w="2160" w:type="dxa"/>
          </w:tcPr>
          <w:p w14:paraId="3044059F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2160" w:type="dxa"/>
          </w:tcPr>
          <w:p w14:paraId="3C98850C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</w:tr>
    </w:tbl>
    <w:p w14:paraId="01953864" w14:textId="77777777" w:rsidR="00BB64C0" w:rsidRPr="003E1AD0" w:rsidRDefault="00BB64C0" w:rsidP="00BB64C0">
      <w:pPr>
        <w:rPr>
          <w:color w:val="0E2841" w:themeColor="text2"/>
        </w:rPr>
      </w:pPr>
    </w:p>
    <w:p w14:paraId="54A0F60C" w14:textId="77777777" w:rsidR="00BB64C0" w:rsidRPr="003E1AD0" w:rsidRDefault="00BB64C0" w:rsidP="00BB64C0">
      <w:pPr>
        <w:rPr>
          <w:color w:val="0E2841" w:themeColor="text2"/>
        </w:rPr>
      </w:pPr>
      <w:r w:rsidRPr="003E1AD0">
        <w:rPr>
          <w:color w:val="0E2841" w:themeColor="text2"/>
        </w:rPr>
        <w:t>Examples that often work well in RACHs include GP rounds with onsite nursing support, wound and skin reviews, medication review support, allied health follow-ups, and multidisciplinary case conferences.</w:t>
      </w:r>
    </w:p>
    <w:p w14:paraId="3E0BFA29" w14:textId="77777777" w:rsidR="00BB64C0" w:rsidRPr="003E1AD0" w:rsidRDefault="00BB64C0" w:rsidP="00BB64C0">
      <w:pPr>
        <w:rPr>
          <w:color w:val="0E2841" w:themeColor="text2"/>
        </w:rPr>
      </w:pPr>
    </w:p>
    <w:p w14:paraId="6C88C6FE" w14:textId="77777777" w:rsidR="00BB64C0" w:rsidRPr="003E1AD0" w:rsidRDefault="00BB64C0" w:rsidP="00BB64C0">
      <w:pPr>
        <w:pStyle w:val="Heading1"/>
        <w:rPr>
          <w:rFonts w:asciiTheme="minorHAnsi" w:hAnsiTheme="minorHAnsi"/>
          <w:color w:val="0E2841" w:themeColor="text2"/>
        </w:rPr>
      </w:pPr>
      <w:bookmarkStart w:id="11" w:name="_Toc223004241"/>
      <w:r w:rsidRPr="003E1AD0">
        <w:rPr>
          <w:rFonts w:asciiTheme="minorHAnsi" w:hAnsiTheme="minorHAnsi"/>
          <w:color w:val="0E2841" w:themeColor="text2"/>
        </w:rPr>
        <w:t>Workflow design and sign-off</w:t>
      </w:r>
      <w:bookmarkEnd w:id="11"/>
    </w:p>
    <w:p w14:paraId="5646DEC8" w14:textId="77777777" w:rsidR="00BB64C0" w:rsidRPr="003E1AD0" w:rsidRDefault="00BB64C0" w:rsidP="00BB64C0">
      <w:pPr>
        <w:rPr>
          <w:color w:val="0E2841" w:themeColor="text2"/>
        </w:rPr>
      </w:pPr>
      <w:r w:rsidRPr="003E1AD0">
        <w:rPr>
          <w:color w:val="0E2841" w:themeColor="text2"/>
        </w:rPr>
        <w:t>Design each Phase 1 workflow so staff can deliver safe, consistent care, with clear responsibilities for clinical appropriateness, consent, documentation, escalation, and failover.</w:t>
      </w:r>
    </w:p>
    <w:p w14:paraId="77DD76B2" w14:textId="77777777" w:rsidR="00BB64C0" w:rsidRPr="003E1AD0" w:rsidRDefault="00BB64C0" w:rsidP="00BB64C0">
      <w:pPr>
        <w:pStyle w:val="Heading2"/>
        <w:rPr>
          <w:rFonts w:asciiTheme="minorHAnsi" w:hAnsiTheme="minorHAnsi"/>
          <w:color w:val="0E2841" w:themeColor="text2"/>
        </w:rPr>
      </w:pPr>
      <w:bookmarkStart w:id="12" w:name="_Toc223004242"/>
      <w:r w:rsidRPr="003E1AD0">
        <w:rPr>
          <w:rFonts w:asciiTheme="minorHAnsi" w:hAnsiTheme="minorHAnsi"/>
          <w:color w:val="0E2841" w:themeColor="text2"/>
        </w:rPr>
        <w:t>Use case workflow sheet</w:t>
      </w:r>
      <w:bookmarkEnd w:id="12"/>
    </w:p>
    <w:p w14:paraId="061F74EB" w14:textId="77777777" w:rsidR="00BB64C0" w:rsidRPr="003E1AD0" w:rsidRDefault="00BB64C0" w:rsidP="00BB64C0">
      <w:pPr>
        <w:rPr>
          <w:color w:val="0E2841" w:themeColor="text2"/>
        </w:rPr>
      </w:pPr>
      <w:r w:rsidRPr="003E1AD0">
        <w:rPr>
          <w:color w:val="0E2841" w:themeColor="text2"/>
        </w:rPr>
        <w:t>Complete one sheet per Phase 1 use case.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3E1AD0" w:rsidRPr="003E1AD0" w14:paraId="00327B77" w14:textId="77777777" w:rsidTr="006B79F5">
        <w:tc>
          <w:tcPr>
            <w:tcW w:w="2160" w:type="dxa"/>
          </w:tcPr>
          <w:p w14:paraId="7FD4FE5C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b/>
                <w:color w:val="0E2841" w:themeColor="text2"/>
              </w:rPr>
              <w:t>Field</w:t>
            </w:r>
          </w:p>
        </w:tc>
        <w:tc>
          <w:tcPr>
            <w:tcW w:w="2160" w:type="dxa"/>
          </w:tcPr>
          <w:p w14:paraId="292F08F5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b/>
                <w:color w:val="0E2841" w:themeColor="text2"/>
              </w:rPr>
              <w:t>UC1</w:t>
            </w:r>
          </w:p>
        </w:tc>
        <w:tc>
          <w:tcPr>
            <w:tcW w:w="2160" w:type="dxa"/>
          </w:tcPr>
          <w:p w14:paraId="0C776A76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b/>
                <w:color w:val="0E2841" w:themeColor="text2"/>
              </w:rPr>
              <w:t>UC2</w:t>
            </w:r>
          </w:p>
        </w:tc>
        <w:tc>
          <w:tcPr>
            <w:tcW w:w="2160" w:type="dxa"/>
          </w:tcPr>
          <w:p w14:paraId="5C3BE0F8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b/>
                <w:color w:val="0E2841" w:themeColor="text2"/>
              </w:rPr>
              <w:t>UC3</w:t>
            </w:r>
          </w:p>
        </w:tc>
      </w:tr>
      <w:tr w:rsidR="003E1AD0" w:rsidRPr="003E1AD0" w14:paraId="2B1578E6" w14:textId="77777777" w:rsidTr="006B79F5">
        <w:tc>
          <w:tcPr>
            <w:tcW w:w="2160" w:type="dxa"/>
          </w:tcPr>
          <w:p w14:paraId="2BB730E4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Use case name</w:t>
            </w:r>
          </w:p>
        </w:tc>
        <w:tc>
          <w:tcPr>
            <w:tcW w:w="2160" w:type="dxa"/>
          </w:tcPr>
          <w:p w14:paraId="2DDB5833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2160" w:type="dxa"/>
          </w:tcPr>
          <w:p w14:paraId="52D35552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2160" w:type="dxa"/>
          </w:tcPr>
          <w:p w14:paraId="107D1EDB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</w:tr>
      <w:tr w:rsidR="003E1AD0" w:rsidRPr="003E1AD0" w14:paraId="325BD5F6" w14:textId="77777777" w:rsidTr="006B79F5">
        <w:tc>
          <w:tcPr>
            <w:tcW w:w="2160" w:type="dxa"/>
          </w:tcPr>
          <w:p w14:paraId="71CBD203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Intended outcomes</w:t>
            </w:r>
          </w:p>
        </w:tc>
        <w:tc>
          <w:tcPr>
            <w:tcW w:w="2160" w:type="dxa"/>
          </w:tcPr>
          <w:p w14:paraId="3344C1B7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2160" w:type="dxa"/>
          </w:tcPr>
          <w:p w14:paraId="6FC8506F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2160" w:type="dxa"/>
          </w:tcPr>
          <w:p w14:paraId="72C2B30C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</w:tr>
      <w:tr w:rsidR="003E1AD0" w:rsidRPr="003E1AD0" w14:paraId="5B05C5B1" w14:textId="77777777" w:rsidTr="006B79F5">
        <w:tc>
          <w:tcPr>
            <w:tcW w:w="2160" w:type="dxa"/>
          </w:tcPr>
          <w:p w14:paraId="082C08ED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Resident cohort and setting</w:t>
            </w:r>
          </w:p>
        </w:tc>
        <w:tc>
          <w:tcPr>
            <w:tcW w:w="2160" w:type="dxa"/>
          </w:tcPr>
          <w:p w14:paraId="1C5F1550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2160" w:type="dxa"/>
          </w:tcPr>
          <w:p w14:paraId="06C14DCC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2160" w:type="dxa"/>
          </w:tcPr>
          <w:p w14:paraId="40D23345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</w:tr>
      <w:tr w:rsidR="003E1AD0" w:rsidRPr="003E1AD0" w14:paraId="45E5AD92" w14:textId="77777777" w:rsidTr="006B79F5">
        <w:tc>
          <w:tcPr>
            <w:tcW w:w="2160" w:type="dxa"/>
          </w:tcPr>
          <w:p w14:paraId="077DF929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Trigger and booking</w:t>
            </w:r>
          </w:p>
        </w:tc>
        <w:tc>
          <w:tcPr>
            <w:tcW w:w="2160" w:type="dxa"/>
          </w:tcPr>
          <w:p w14:paraId="06CC55EA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2160" w:type="dxa"/>
          </w:tcPr>
          <w:p w14:paraId="6808B870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2160" w:type="dxa"/>
          </w:tcPr>
          <w:p w14:paraId="31989700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</w:tr>
      <w:tr w:rsidR="003E1AD0" w:rsidRPr="003E1AD0" w14:paraId="5634EA1F" w14:textId="77777777" w:rsidTr="006B79F5">
        <w:tc>
          <w:tcPr>
            <w:tcW w:w="2160" w:type="dxa"/>
          </w:tcPr>
          <w:p w14:paraId="17409A53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Participants and roles</w:t>
            </w:r>
          </w:p>
        </w:tc>
        <w:tc>
          <w:tcPr>
            <w:tcW w:w="2160" w:type="dxa"/>
          </w:tcPr>
          <w:p w14:paraId="246D254A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2160" w:type="dxa"/>
          </w:tcPr>
          <w:p w14:paraId="0A3C5822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2160" w:type="dxa"/>
          </w:tcPr>
          <w:p w14:paraId="480DD86F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</w:tr>
      <w:tr w:rsidR="003E1AD0" w:rsidRPr="003E1AD0" w14:paraId="48B5D26D" w14:textId="77777777" w:rsidTr="006B79F5">
        <w:tc>
          <w:tcPr>
            <w:tcW w:w="2160" w:type="dxa"/>
          </w:tcPr>
          <w:p w14:paraId="47069242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Clinical appropriateness rules</w:t>
            </w:r>
          </w:p>
        </w:tc>
        <w:tc>
          <w:tcPr>
            <w:tcW w:w="2160" w:type="dxa"/>
          </w:tcPr>
          <w:p w14:paraId="6225D680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2160" w:type="dxa"/>
          </w:tcPr>
          <w:p w14:paraId="60A2D540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2160" w:type="dxa"/>
          </w:tcPr>
          <w:p w14:paraId="61DBCF8A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</w:tr>
      <w:tr w:rsidR="003E1AD0" w:rsidRPr="003E1AD0" w14:paraId="79A12F89" w14:textId="77777777" w:rsidTr="006B79F5">
        <w:tc>
          <w:tcPr>
            <w:tcW w:w="2160" w:type="dxa"/>
          </w:tcPr>
          <w:p w14:paraId="02566BA7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lastRenderedPageBreak/>
              <w:t>Consent process</w:t>
            </w:r>
          </w:p>
        </w:tc>
        <w:tc>
          <w:tcPr>
            <w:tcW w:w="2160" w:type="dxa"/>
          </w:tcPr>
          <w:p w14:paraId="486CA728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2160" w:type="dxa"/>
          </w:tcPr>
          <w:p w14:paraId="0B5579EF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2160" w:type="dxa"/>
          </w:tcPr>
          <w:p w14:paraId="69338C7B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</w:tr>
      <w:tr w:rsidR="003E1AD0" w:rsidRPr="003E1AD0" w14:paraId="3D75E882" w14:textId="77777777" w:rsidTr="006B79F5">
        <w:tc>
          <w:tcPr>
            <w:tcW w:w="2160" w:type="dxa"/>
          </w:tcPr>
          <w:p w14:paraId="37A98757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Pre-call checks</w:t>
            </w:r>
          </w:p>
        </w:tc>
        <w:tc>
          <w:tcPr>
            <w:tcW w:w="2160" w:type="dxa"/>
          </w:tcPr>
          <w:p w14:paraId="7DB9F615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2160" w:type="dxa"/>
          </w:tcPr>
          <w:p w14:paraId="62228FE5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2160" w:type="dxa"/>
          </w:tcPr>
          <w:p w14:paraId="62F71F3A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</w:tr>
      <w:tr w:rsidR="003E1AD0" w:rsidRPr="003E1AD0" w14:paraId="49CF797F" w14:textId="77777777" w:rsidTr="006B79F5">
        <w:tc>
          <w:tcPr>
            <w:tcW w:w="2160" w:type="dxa"/>
          </w:tcPr>
          <w:p w14:paraId="6F65A767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In-consult steps</w:t>
            </w:r>
          </w:p>
        </w:tc>
        <w:tc>
          <w:tcPr>
            <w:tcW w:w="2160" w:type="dxa"/>
          </w:tcPr>
          <w:p w14:paraId="29D41501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2160" w:type="dxa"/>
          </w:tcPr>
          <w:p w14:paraId="48368122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2160" w:type="dxa"/>
          </w:tcPr>
          <w:p w14:paraId="6E04D0E9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</w:tr>
      <w:tr w:rsidR="003E1AD0" w:rsidRPr="003E1AD0" w14:paraId="18962F1B" w14:textId="77777777" w:rsidTr="006B79F5">
        <w:tc>
          <w:tcPr>
            <w:tcW w:w="2160" w:type="dxa"/>
          </w:tcPr>
          <w:p w14:paraId="3774EAE8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Documentation requirements</w:t>
            </w:r>
          </w:p>
        </w:tc>
        <w:tc>
          <w:tcPr>
            <w:tcW w:w="2160" w:type="dxa"/>
          </w:tcPr>
          <w:p w14:paraId="1B64A418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2160" w:type="dxa"/>
          </w:tcPr>
          <w:p w14:paraId="7EF7F013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2160" w:type="dxa"/>
          </w:tcPr>
          <w:p w14:paraId="08C2146C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</w:tr>
      <w:tr w:rsidR="003E1AD0" w:rsidRPr="003E1AD0" w14:paraId="173CB906" w14:textId="77777777" w:rsidTr="006B79F5">
        <w:tc>
          <w:tcPr>
            <w:tcW w:w="2160" w:type="dxa"/>
          </w:tcPr>
          <w:p w14:paraId="5499D74E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Escalation pathway</w:t>
            </w:r>
          </w:p>
        </w:tc>
        <w:tc>
          <w:tcPr>
            <w:tcW w:w="2160" w:type="dxa"/>
          </w:tcPr>
          <w:p w14:paraId="2CE5A387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2160" w:type="dxa"/>
          </w:tcPr>
          <w:p w14:paraId="00BF43DE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2160" w:type="dxa"/>
          </w:tcPr>
          <w:p w14:paraId="449B5C9C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</w:tr>
      <w:tr w:rsidR="003E1AD0" w:rsidRPr="003E1AD0" w14:paraId="2B9F95A1" w14:textId="77777777" w:rsidTr="006B79F5">
        <w:tc>
          <w:tcPr>
            <w:tcW w:w="2160" w:type="dxa"/>
          </w:tcPr>
          <w:p w14:paraId="0F92CCC9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Technology failover</w:t>
            </w:r>
          </w:p>
        </w:tc>
        <w:tc>
          <w:tcPr>
            <w:tcW w:w="2160" w:type="dxa"/>
          </w:tcPr>
          <w:p w14:paraId="0DC6F7F1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2160" w:type="dxa"/>
          </w:tcPr>
          <w:p w14:paraId="25227F84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2160" w:type="dxa"/>
          </w:tcPr>
          <w:p w14:paraId="3782AFD0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</w:tr>
      <w:tr w:rsidR="003E1AD0" w:rsidRPr="003E1AD0" w14:paraId="3A4204D3" w14:textId="77777777" w:rsidTr="006B79F5">
        <w:tc>
          <w:tcPr>
            <w:tcW w:w="2160" w:type="dxa"/>
          </w:tcPr>
          <w:p w14:paraId="243C1DE0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Post-consult follow-up</w:t>
            </w:r>
          </w:p>
        </w:tc>
        <w:tc>
          <w:tcPr>
            <w:tcW w:w="2160" w:type="dxa"/>
          </w:tcPr>
          <w:p w14:paraId="3152F2CB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2160" w:type="dxa"/>
          </w:tcPr>
          <w:p w14:paraId="5639161C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2160" w:type="dxa"/>
          </w:tcPr>
          <w:p w14:paraId="67120B22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</w:tr>
      <w:tr w:rsidR="003E1AD0" w:rsidRPr="003E1AD0" w14:paraId="327EB4EE" w14:textId="77777777" w:rsidTr="006B79F5">
        <w:tc>
          <w:tcPr>
            <w:tcW w:w="2160" w:type="dxa"/>
          </w:tcPr>
          <w:p w14:paraId="11BFD498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Quality checks (30/90 day)</w:t>
            </w:r>
          </w:p>
        </w:tc>
        <w:tc>
          <w:tcPr>
            <w:tcW w:w="2160" w:type="dxa"/>
          </w:tcPr>
          <w:p w14:paraId="074B78B4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2160" w:type="dxa"/>
          </w:tcPr>
          <w:p w14:paraId="75624EAE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2160" w:type="dxa"/>
          </w:tcPr>
          <w:p w14:paraId="57715961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</w:tr>
    </w:tbl>
    <w:p w14:paraId="41EFEE5F" w14:textId="77777777" w:rsidR="00BB64C0" w:rsidRPr="003E1AD0" w:rsidRDefault="00BB64C0" w:rsidP="00BB64C0">
      <w:pPr>
        <w:rPr>
          <w:color w:val="0E2841" w:themeColor="text2"/>
        </w:rPr>
      </w:pPr>
    </w:p>
    <w:p w14:paraId="2C98792C" w14:textId="77777777" w:rsidR="00BB64C0" w:rsidRPr="003E1AD0" w:rsidRDefault="00BB64C0" w:rsidP="00BB64C0">
      <w:pPr>
        <w:pStyle w:val="Heading2"/>
        <w:rPr>
          <w:rFonts w:asciiTheme="minorHAnsi" w:hAnsiTheme="minorHAnsi"/>
          <w:color w:val="0E2841" w:themeColor="text2"/>
        </w:rPr>
      </w:pPr>
      <w:bookmarkStart w:id="13" w:name="_Toc223004243"/>
      <w:r w:rsidRPr="003E1AD0">
        <w:rPr>
          <w:rFonts w:asciiTheme="minorHAnsi" w:hAnsiTheme="minorHAnsi"/>
          <w:color w:val="0E2841" w:themeColor="text2"/>
        </w:rPr>
        <w:t>Escalation and deterioration recognition</w:t>
      </w:r>
      <w:bookmarkEnd w:id="13"/>
    </w:p>
    <w:p w14:paraId="706D4B79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Define red flags that trigger escalation for each use case.</w:t>
      </w:r>
    </w:p>
    <w:p w14:paraId="2BF54D88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Define who can escalate (RNs, NPs, senior staff) and where escalation goes during business hours and after hours.</w:t>
      </w:r>
    </w:p>
    <w:p w14:paraId="7CAC1585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Ensure the escalation pathway is rehearsed and easy to follow under pressure.</w:t>
      </w:r>
    </w:p>
    <w:p w14:paraId="70C29B94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Ensure documentation and handover expectations are clear.</w:t>
      </w:r>
    </w:p>
    <w:p w14:paraId="74D77E2A" w14:textId="77777777" w:rsidR="00BB64C0" w:rsidRPr="003E1AD0" w:rsidRDefault="00BB64C0" w:rsidP="00BB64C0">
      <w:pPr>
        <w:rPr>
          <w:color w:val="0E2841" w:themeColor="text2"/>
        </w:rPr>
      </w:pPr>
    </w:p>
    <w:p w14:paraId="0A1005C6" w14:textId="77777777" w:rsidR="00BB64C0" w:rsidRPr="003E1AD0" w:rsidRDefault="00BB64C0" w:rsidP="00BB64C0">
      <w:pPr>
        <w:pStyle w:val="Heading2"/>
        <w:rPr>
          <w:rFonts w:asciiTheme="minorHAnsi" w:hAnsiTheme="minorHAnsi"/>
          <w:color w:val="0E2841" w:themeColor="text2"/>
        </w:rPr>
      </w:pPr>
      <w:bookmarkStart w:id="14" w:name="_Toc223004244"/>
      <w:r w:rsidRPr="003E1AD0">
        <w:rPr>
          <w:rFonts w:asciiTheme="minorHAnsi" w:hAnsiTheme="minorHAnsi"/>
          <w:color w:val="0E2841" w:themeColor="text2"/>
        </w:rPr>
        <w:t>Documentation and communicating for safety</w:t>
      </w:r>
      <w:bookmarkEnd w:id="14"/>
    </w:p>
    <w:p w14:paraId="23BA41CA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Define the single source of truth for documentation (usually the resident clinical record).</w:t>
      </w:r>
    </w:p>
    <w:p w14:paraId="3B7AB973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 xml:space="preserve">Define how information is provided to external clinicians before the </w:t>
      </w:r>
      <w:proofErr w:type="gramStart"/>
      <w:r w:rsidRPr="003E1AD0">
        <w:rPr>
          <w:rFonts w:asciiTheme="minorHAnsi" w:hAnsiTheme="minorHAnsi"/>
          <w:color w:val="0E2841" w:themeColor="text2"/>
        </w:rPr>
        <w:t>consult</w:t>
      </w:r>
      <w:proofErr w:type="gramEnd"/>
      <w:r w:rsidRPr="003E1AD0">
        <w:rPr>
          <w:rFonts w:asciiTheme="minorHAnsi" w:hAnsiTheme="minorHAnsi"/>
          <w:color w:val="0E2841" w:themeColor="text2"/>
        </w:rPr>
        <w:t xml:space="preserve"> (summary, meds list, recent </w:t>
      </w:r>
      <w:proofErr w:type="spellStart"/>
      <w:r w:rsidRPr="003E1AD0">
        <w:rPr>
          <w:rFonts w:asciiTheme="minorHAnsi" w:hAnsiTheme="minorHAnsi"/>
          <w:color w:val="0E2841" w:themeColor="text2"/>
        </w:rPr>
        <w:t>obs</w:t>
      </w:r>
      <w:proofErr w:type="spellEnd"/>
      <w:r w:rsidRPr="003E1AD0">
        <w:rPr>
          <w:rFonts w:asciiTheme="minorHAnsi" w:hAnsiTheme="minorHAnsi"/>
          <w:color w:val="0E2841" w:themeColor="text2"/>
        </w:rPr>
        <w:t>).</w:t>
      </w:r>
    </w:p>
    <w:p w14:paraId="6E294D29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Avoid splitting clinical information across informal channels. If images or device outputs are captured, specify where they are stored and who can access them.</w:t>
      </w:r>
    </w:p>
    <w:p w14:paraId="41821CAC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Confirm medication orders and follow-up actions using the home’s usual processes.</w:t>
      </w:r>
    </w:p>
    <w:p w14:paraId="3792D936" w14:textId="77777777" w:rsidR="00BB64C0" w:rsidRPr="003E1AD0" w:rsidRDefault="00BB64C0" w:rsidP="00BB64C0">
      <w:pPr>
        <w:rPr>
          <w:color w:val="0E2841" w:themeColor="text2"/>
        </w:rPr>
      </w:pPr>
    </w:p>
    <w:p w14:paraId="17A3C795" w14:textId="77777777" w:rsidR="00BB64C0" w:rsidRPr="003E1AD0" w:rsidRDefault="00BB64C0" w:rsidP="00BB64C0">
      <w:pPr>
        <w:pStyle w:val="Heading2"/>
        <w:rPr>
          <w:rFonts w:asciiTheme="minorHAnsi" w:hAnsiTheme="minorHAnsi"/>
          <w:color w:val="0E2841" w:themeColor="text2"/>
        </w:rPr>
      </w:pPr>
      <w:bookmarkStart w:id="15" w:name="_Toc223004245"/>
      <w:r w:rsidRPr="003E1AD0">
        <w:rPr>
          <w:rFonts w:asciiTheme="minorHAnsi" w:hAnsiTheme="minorHAnsi"/>
          <w:color w:val="0E2841" w:themeColor="text2"/>
        </w:rPr>
        <w:t>External provider onboarding</w:t>
      </w:r>
      <w:bookmarkEnd w:id="15"/>
    </w:p>
    <w:p w14:paraId="012C663D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Invite external providers early and confirm preferred contact details.</w:t>
      </w:r>
    </w:p>
    <w:p w14:paraId="1F5AF419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Book a short test call before the first resident consult.</w:t>
      </w:r>
    </w:p>
    <w:p w14:paraId="7F5336ED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Confirm the booking and referral pathway, including any clinical information required in advance.</w:t>
      </w:r>
    </w:p>
    <w:p w14:paraId="366F1141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Confirm expected response times for urgent reviews and after-hours coverage.</w:t>
      </w:r>
    </w:p>
    <w:p w14:paraId="5DF5C31A" w14:textId="77777777" w:rsidR="00BB64C0" w:rsidRPr="003E1AD0" w:rsidRDefault="00BB64C0" w:rsidP="00BB64C0">
      <w:pPr>
        <w:rPr>
          <w:color w:val="0E2841" w:themeColor="text2"/>
        </w:rPr>
      </w:pPr>
    </w:p>
    <w:p w14:paraId="384AAA24" w14:textId="77777777" w:rsidR="00BB64C0" w:rsidRPr="003E1AD0" w:rsidRDefault="00BB64C0" w:rsidP="00BB64C0">
      <w:pPr>
        <w:pStyle w:val="Heading1"/>
        <w:rPr>
          <w:rFonts w:asciiTheme="minorHAnsi" w:hAnsiTheme="minorHAnsi"/>
          <w:color w:val="0E2841" w:themeColor="text2"/>
        </w:rPr>
      </w:pPr>
      <w:bookmarkStart w:id="16" w:name="_Toc223004246"/>
      <w:r w:rsidRPr="003E1AD0">
        <w:rPr>
          <w:rFonts w:asciiTheme="minorHAnsi" w:hAnsiTheme="minorHAnsi"/>
          <w:color w:val="0E2841" w:themeColor="text2"/>
        </w:rPr>
        <w:lastRenderedPageBreak/>
        <w:t>Technical deployment and validation</w:t>
      </w:r>
      <w:bookmarkEnd w:id="16"/>
    </w:p>
    <w:p w14:paraId="236DFDEC" w14:textId="77777777" w:rsidR="00BB64C0" w:rsidRPr="003E1AD0" w:rsidRDefault="00BB64C0" w:rsidP="00BB64C0">
      <w:pPr>
        <w:rPr>
          <w:color w:val="0E2841" w:themeColor="text2"/>
        </w:rPr>
      </w:pPr>
      <w:r w:rsidRPr="003E1AD0">
        <w:rPr>
          <w:color w:val="0E2841" w:themeColor="text2"/>
        </w:rPr>
        <w:t>Objective: ensure the solution works reliably in real world conditions such as variable Wi-Fi, shared networks, and mobile coverage.</w:t>
      </w:r>
    </w:p>
    <w:p w14:paraId="4DB30E37" w14:textId="77777777" w:rsidR="00BB64C0" w:rsidRPr="003E1AD0" w:rsidRDefault="00BB64C0" w:rsidP="00BB64C0">
      <w:pPr>
        <w:pStyle w:val="Heading2"/>
        <w:rPr>
          <w:rFonts w:asciiTheme="minorHAnsi" w:hAnsiTheme="minorHAnsi"/>
          <w:color w:val="0E2841" w:themeColor="text2"/>
        </w:rPr>
      </w:pPr>
      <w:bookmarkStart w:id="17" w:name="_Toc223004247"/>
      <w:r w:rsidRPr="003E1AD0">
        <w:rPr>
          <w:rFonts w:asciiTheme="minorHAnsi" w:hAnsiTheme="minorHAnsi"/>
          <w:color w:val="0E2841" w:themeColor="text2"/>
        </w:rPr>
        <w:t>Technical checklist</w:t>
      </w:r>
      <w:bookmarkEnd w:id="17"/>
    </w:p>
    <w:p w14:paraId="693538C2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Confirm where the cart or kit will be stored, charged, and kept secure.</w:t>
      </w:r>
    </w:p>
    <w:p w14:paraId="39CF5014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Validate Wi-Fi coverage in key locations (</w:t>
      </w:r>
      <w:proofErr w:type="gramStart"/>
      <w:r w:rsidRPr="003E1AD0">
        <w:rPr>
          <w:rFonts w:asciiTheme="minorHAnsi" w:hAnsiTheme="minorHAnsi"/>
          <w:color w:val="0E2841" w:themeColor="text2"/>
        </w:rPr>
        <w:t>nurses</w:t>
      </w:r>
      <w:proofErr w:type="gramEnd"/>
      <w:r w:rsidRPr="003E1AD0">
        <w:rPr>
          <w:rFonts w:asciiTheme="minorHAnsi" w:hAnsiTheme="minorHAnsi"/>
          <w:color w:val="0E2841" w:themeColor="text2"/>
        </w:rPr>
        <w:t xml:space="preserve"> station, resident rooms, treatment rooms).</w:t>
      </w:r>
    </w:p>
    <w:p w14:paraId="613FF4CB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Confirm a backup connectivity option (4G/5G hotspot or SIM-enabled device) where feasible.</w:t>
      </w:r>
    </w:p>
    <w:p w14:paraId="6D9EEE4E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Confirm user accounts, permissions, and any required multi-factor authentication.</w:t>
      </w:r>
    </w:p>
    <w:p w14:paraId="05290905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Pair and test all peripherals required for Phase 1 use cases.</w:t>
      </w:r>
    </w:p>
    <w:p w14:paraId="124BC0D6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 xml:space="preserve">Confirm software update approach and who applies updates (including </w:t>
      </w:r>
      <w:proofErr w:type="spellStart"/>
      <w:r w:rsidRPr="003E1AD0">
        <w:rPr>
          <w:rFonts w:asciiTheme="minorHAnsi" w:hAnsiTheme="minorHAnsi"/>
          <w:color w:val="0E2841" w:themeColor="text2"/>
        </w:rPr>
        <w:t>ProEX</w:t>
      </w:r>
      <w:proofErr w:type="spellEnd"/>
      <w:r w:rsidRPr="003E1AD0">
        <w:rPr>
          <w:rFonts w:asciiTheme="minorHAnsi" w:hAnsiTheme="minorHAnsi"/>
          <w:color w:val="0E2841" w:themeColor="text2"/>
        </w:rPr>
        <w:t xml:space="preserve"> updates where relevant).</w:t>
      </w:r>
    </w:p>
    <w:p w14:paraId="7F31982C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Run a test call in each intended location and document outcomes.</w:t>
      </w:r>
    </w:p>
    <w:p w14:paraId="2CA7C64C" w14:textId="77777777" w:rsidR="00BB64C0" w:rsidRPr="003E1AD0" w:rsidRDefault="00BB64C0" w:rsidP="00BB64C0">
      <w:pPr>
        <w:rPr>
          <w:color w:val="0E2841" w:themeColor="text2"/>
        </w:rPr>
      </w:pPr>
    </w:p>
    <w:p w14:paraId="3B6F2442" w14:textId="77777777" w:rsidR="00BB64C0" w:rsidRPr="003E1AD0" w:rsidRDefault="00BB64C0" w:rsidP="00BB64C0">
      <w:pPr>
        <w:pStyle w:val="Heading2"/>
        <w:rPr>
          <w:rFonts w:asciiTheme="minorHAnsi" w:hAnsiTheme="minorHAnsi"/>
          <w:color w:val="0E2841" w:themeColor="text2"/>
        </w:rPr>
      </w:pPr>
      <w:bookmarkStart w:id="18" w:name="_Toc223004248"/>
      <w:r w:rsidRPr="003E1AD0">
        <w:rPr>
          <w:rFonts w:asciiTheme="minorHAnsi" w:hAnsiTheme="minorHAnsi"/>
          <w:color w:val="0E2841" w:themeColor="text2"/>
        </w:rPr>
        <w:t>Asset control</w:t>
      </w:r>
      <w:bookmarkEnd w:id="18"/>
    </w:p>
    <w:p w14:paraId="31CEB8DE" w14:textId="77777777" w:rsidR="00BB64C0" w:rsidRPr="003E1AD0" w:rsidRDefault="00BB64C0" w:rsidP="00BB64C0">
      <w:pPr>
        <w:rPr>
          <w:color w:val="0E2841" w:themeColor="text2"/>
        </w:rPr>
      </w:pPr>
      <w:r w:rsidRPr="003E1AD0">
        <w:rPr>
          <w:color w:val="0E2841" w:themeColor="text2"/>
        </w:rPr>
        <w:t>Maintain an asset register for devices and peripherals to reduce delays during go-live and troubleshooting.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 w:rsidR="003E1AD0" w:rsidRPr="003E1AD0" w14:paraId="0716623A" w14:textId="77777777" w:rsidTr="006B79F5">
        <w:tc>
          <w:tcPr>
            <w:tcW w:w="1728" w:type="dxa"/>
          </w:tcPr>
          <w:p w14:paraId="6296DBA9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b/>
                <w:color w:val="0E2841" w:themeColor="text2"/>
              </w:rPr>
              <w:t>Asset</w:t>
            </w:r>
          </w:p>
        </w:tc>
        <w:tc>
          <w:tcPr>
            <w:tcW w:w="1728" w:type="dxa"/>
          </w:tcPr>
          <w:p w14:paraId="5075D961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b/>
                <w:color w:val="0E2841" w:themeColor="text2"/>
              </w:rPr>
              <w:t>Serial / ID</w:t>
            </w:r>
          </w:p>
        </w:tc>
        <w:tc>
          <w:tcPr>
            <w:tcW w:w="1728" w:type="dxa"/>
          </w:tcPr>
          <w:p w14:paraId="54214929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b/>
                <w:color w:val="0E2841" w:themeColor="text2"/>
              </w:rPr>
              <w:t>Location</w:t>
            </w:r>
          </w:p>
        </w:tc>
        <w:tc>
          <w:tcPr>
            <w:tcW w:w="1728" w:type="dxa"/>
          </w:tcPr>
          <w:p w14:paraId="1C008B74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b/>
                <w:color w:val="0E2841" w:themeColor="text2"/>
              </w:rPr>
              <w:t>Custodian</w:t>
            </w:r>
          </w:p>
        </w:tc>
        <w:tc>
          <w:tcPr>
            <w:tcW w:w="1728" w:type="dxa"/>
          </w:tcPr>
          <w:p w14:paraId="5BF2A7A6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b/>
                <w:color w:val="0E2841" w:themeColor="text2"/>
              </w:rPr>
              <w:t>Notes</w:t>
            </w:r>
          </w:p>
        </w:tc>
      </w:tr>
      <w:tr w:rsidR="003E1AD0" w:rsidRPr="003E1AD0" w14:paraId="3F55FC1B" w14:textId="77777777" w:rsidTr="006B79F5">
        <w:tc>
          <w:tcPr>
            <w:tcW w:w="1728" w:type="dxa"/>
          </w:tcPr>
          <w:p w14:paraId="00C2F329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Cart / Mobile kit</w:t>
            </w:r>
          </w:p>
        </w:tc>
        <w:tc>
          <w:tcPr>
            <w:tcW w:w="1728" w:type="dxa"/>
          </w:tcPr>
          <w:p w14:paraId="51F72630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1728" w:type="dxa"/>
          </w:tcPr>
          <w:p w14:paraId="1180E56B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1728" w:type="dxa"/>
          </w:tcPr>
          <w:p w14:paraId="18EE00FB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1728" w:type="dxa"/>
          </w:tcPr>
          <w:p w14:paraId="7DA85F1E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</w:tr>
      <w:tr w:rsidR="003E1AD0" w:rsidRPr="003E1AD0" w14:paraId="5E5A9355" w14:textId="77777777" w:rsidTr="006B79F5">
        <w:tc>
          <w:tcPr>
            <w:tcW w:w="1728" w:type="dxa"/>
          </w:tcPr>
          <w:p w14:paraId="60B57B89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Tablet / PC</w:t>
            </w:r>
          </w:p>
        </w:tc>
        <w:tc>
          <w:tcPr>
            <w:tcW w:w="1728" w:type="dxa"/>
          </w:tcPr>
          <w:p w14:paraId="2D512DE8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1728" w:type="dxa"/>
          </w:tcPr>
          <w:p w14:paraId="1E5AEFC8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1728" w:type="dxa"/>
          </w:tcPr>
          <w:p w14:paraId="21AD7E9C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1728" w:type="dxa"/>
          </w:tcPr>
          <w:p w14:paraId="17DEEDEE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</w:tr>
      <w:tr w:rsidR="003E1AD0" w:rsidRPr="003E1AD0" w14:paraId="25B42039" w14:textId="77777777" w:rsidTr="006B79F5">
        <w:tc>
          <w:tcPr>
            <w:tcW w:w="1728" w:type="dxa"/>
          </w:tcPr>
          <w:p w14:paraId="53D315D8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Camera (GEIS/PTZ)</w:t>
            </w:r>
          </w:p>
        </w:tc>
        <w:tc>
          <w:tcPr>
            <w:tcW w:w="1728" w:type="dxa"/>
          </w:tcPr>
          <w:p w14:paraId="63F9E3DF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1728" w:type="dxa"/>
          </w:tcPr>
          <w:p w14:paraId="04A7CB24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1728" w:type="dxa"/>
          </w:tcPr>
          <w:p w14:paraId="3428D17C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1728" w:type="dxa"/>
          </w:tcPr>
          <w:p w14:paraId="1CF95EBC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</w:tr>
      <w:tr w:rsidR="003E1AD0" w:rsidRPr="003E1AD0" w14:paraId="1E936F1B" w14:textId="77777777" w:rsidTr="006B79F5">
        <w:tc>
          <w:tcPr>
            <w:tcW w:w="1728" w:type="dxa"/>
          </w:tcPr>
          <w:p w14:paraId="0A4500F4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Stethoscope</w:t>
            </w:r>
          </w:p>
        </w:tc>
        <w:tc>
          <w:tcPr>
            <w:tcW w:w="1728" w:type="dxa"/>
          </w:tcPr>
          <w:p w14:paraId="144246BE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1728" w:type="dxa"/>
          </w:tcPr>
          <w:p w14:paraId="4DA0A00B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1728" w:type="dxa"/>
          </w:tcPr>
          <w:p w14:paraId="2628A89B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1728" w:type="dxa"/>
          </w:tcPr>
          <w:p w14:paraId="00D8F749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</w:tr>
      <w:tr w:rsidR="003E1AD0" w:rsidRPr="003E1AD0" w14:paraId="4BC00389" w14:textId="77777777" w:rsidTr="006B79F5">
        <w:tc>
          <w:tcPr>
            <w:tcW w:w="1728" w:type="dxa"/>
          </w:tcPr>
          <w:p w14:paraId="191A3282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ECG</w:t>
            </w:r>
          </w:p>
        </w:tc>
        <w:tc>
          <w:tcPr>
            <w:tcW w:w="1728" w:type="dxa"/>
          </w:tcPr>
          <w:p w14:paraId="1D106016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1728" w:type="dxa"/>
          </w:tcPr>
          <w:p w14:paraId="1842E654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1728" w:type="dxa"/>
          </w:tcPr>
          <w:p w14:paraId="598AD46E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1728" w:type="dxa"/>
          </w:tcPr>
          <w:p w14:paraId="3E047317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</w:tr>
      <w:tr w:rsidR="003E1AD0" w:rsidRPr="003E1AD0" w14:paraId="7636A7D8" w14:textId="77777777" w:rsidTr="006B79F5">
        <w:tc>
          <w:tcPr>
            <w:tcW w:w="1728" w:type="dxa"/>
          </w:tcPr>
          <w:p w14:paraId="205471DE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Other peripherals</w:t>
            </w:r>
          </w:p>
        </w:tc>
        <w:tc>
          <w:tcPr>
            <w:tcW w:w="1728" w:type="dxa"/>
          </w:tcPr>
          <w:p w14:paraId="62A115FB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1728" w:type="dxa"/>
          </w:tcPr>
          <w:p w14:paraId="58D53133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1728" w:type="dxa"/>
          </w:tcPr>
          <w:p w14:paraId="05CD4467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1728" w:type="dxa"/>
          </w:tcPr>
          <w:p w14:paraId="2EC5D2D9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</w:tr>
    </w:tbl>
    <w:p w14:paraId="29D20195" w14:textId="77777777" w:rsidR="00BB64C0" w:rsidRPr="003E1AD0" w:rsidRDefault="00BB64C0" w:rsidP="00BB64C0">
      <w:pPr>
        <w:rPr>
          <w:color w:val="0E2841" w:themeColor="text2"/>
        </w:rPr>
      </w:pPr>
    </w:p>
    <w:p w14:paraId="78936B32" w14:textId="77777777" w:rsidR="00BB64C0" w:rsidRPr="003E1AD0" w:rsidRDefault="00BB64C0" w:rsidP="00BB64C0">
      <w:pPr>
        <w:pStyle w:val="Heading1"/>
        <w:rPr>
          <w:rFonts w:asciiTheme="minorHAnsi" w:hAnsiTheme="minorHAnsi"/>
          <w:color w:val="0E2841" w:themeColor="text2"/>
        </w:rPr>
      </w:pPr>
      <w:bookmarkStart w:id="19" w:name="_Toc223004249"/>
      <w:r w:rsidRPr="003E1AD0">
        <w:rPr>
          <w:rFonts w:asciiTheme="minorHAnsi" w:hAnsiTheme="minorHAnsi"/>
          <w:color w:val="0E2841" w:themeColor="text2"/>
        </w:rPr>
        <w:t>Privacy, consent, and information handling</w:t>
      </w:r>
      <w:bookmarkEnd w:id="19"/>
    </w:p>
    <w:p w14:paraId="4A845499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Confirm consent at the start of every session and record it in the resident record.</w:t>
      </w:r>
    </w:p>
    <w:p w14:paraId="51AE601A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Confirm who is present on both sides of the call (family, interpreter, trainees).</w:t>
      </w:r>
    </w:p>
    <w:p w14:paraId="29A99C37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Use a private space where possible. Use signage if using a shared room.</w:t>
      </w:r>
    </w:p>
    <w:p w14:paraId="6ADAAA7E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Do not record sessions unless approved under local policy and consent is obtained.</w:t>
      </w:r>
    </w:p>
    <w:p w14:paraId="61CB8CAC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Handle images and files as health information. Store and share only via approved systems and processes.</w:t>
      </w:r>
    </w:p>
    <w:p w14:paraId="58E087B6" w14:textId="77777777" w:rsidR="00BB64C0" w:rsidRPr="003E1AD0" w:rsidRDefault="00BB64C0" w:rsidP="00BB64C0">
      <w:pPr>
        <w:rPr>
          <w:color w:val="0E2841" w:themeColor="text2"/>
        </w:rPr>
      </w:pPr>
    </w:p>
    <w:p w14:paraId="38C33A2B" w14:textId="77777777" w:rsidR="00BB64C0" w:rsidRPr="003E1AD0" w:rsidRDefault="00BB64C0" w:rsidP="00BB64C0">
      <w:pPr>
        <w:pStyle w:val="Heading1"/>
        <w:rPr>
          <w:rFonts w:asciiTheme="minorHAnsi" w:hAnsiTheme="minorHAnsi"/>
          <w:color w:val="0E2841" w:themeColor="text2"/>
        </w:rPr>
      </w:pPr>
      <w:bookmarkStart w:id="20" w:name="_Toc223004250"/>
      <w:r w:rsidRPr="003E1AD0">
        <w:rPr>
          <w:rFonts w:asciiTheme="minorHAnsi" w:hAnsiTheme="minorHAnsi"/>
          <w:color w:val="0E2841" w:themeColor="text2"/>
        </w:rPr>
        <w:t>Change management and communications</w:t>
      </w:r>
      <w:bookmarkEnd w:id="20"/>
    </w:p>
    <w:p w14:paraId="349B506C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Nominate champions across shifts and roles.</w:t>
      </w:r>
    </w:p>
    <w:p w14:paraId="4569200B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Set clear expectations for Phase 1 use cases and when virtual care is appropriate.</w:t>
      </w:r>
    </w:p>
    <w:p w14:paraId="6CFF138B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Publish a simple quick reference near the equipment (how to start, who to call, failover steps).</w:t>
      </w:r>
    </w:p>
    <w:p w14:paraId="109DBBA0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Engage external providers early and confirm their willingness to participate.</w:t>
      </w:r>
    </w:p>
    <w:p w14:paraId="0E33B3FB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 xml:space="preserve">Use a </w:t>
      </w:r>
      <w:proofErr w:type="gramStart"/>
      <w:r w:rsidRPr="003E1AD0">
        <w:rPr>
          <w:rFonts w:asciiTheme="minorHAnsi" w:hAnsiTheme="minorHAnsi"/>
          <w:color w:val="0E2841" w:themeColor="text2"/>
        </w:rPr>
        <w:t>short issues</w:t>
      </w:r>
      <w:proofErr w:type="gramEnd"/>
      <w:r w:rsidRPr="003E1AD0">
        <w:rPr>
          <w:rFonts w:asciiTheme="minorHAnsi" w:hAnsiTheme="minorHAnsi"/>
          <w:color w:val="0E2841" w:themeColor="text2"/>
        </w:rPr>
        <w:t xml:space="preserve"> log to capture friction points and fix them quickly.</w:t>
      </w:r>
    </w:p>
    <w:p w14:paraId="708C6944" w14:textId="77777777" w:rsidR="00BB64C0" w:rsidRPr="003E1AD0" w:rsidRDefault="00BB64C0" w:rsidP="00BB64C0">
      <w:pPr>
        <w:rPr>
          <w:color w:val="0E2841" w:themeColor="text2"/>
        </w:rPr>
      </w:pPr>
    </w:p>
    <w:p w14:paraId="55AF41AC" w14:textId="77777777" w:rsidR="00BB64C0" w:rsidRPr="003E1AD0" w:rsidRDefault="00BB64C0" w:rsidP="00BB64C0">
      <w:pPr>
        <w:pStyle w:val="Heading1"/>
        <w:rPr>
          <w:rFonts w:asciiTheme="minorHAnsi" w:hAnsiTheme="minorHAnsi"/>
          <w:color w:val="0E2841" w:themeColor="text2"/>
        </w:rPr>
      </w:pPr>
      <w:bookmarkStart w:id="21" w:name="_Toc223004251"/>
      <w:r w:rsidRPr="003E1AD0">
        <w:rPr>
          <w:rFonts w:asciiTheme="minorHAnsi" w:hAnsiTheme="minorHAnsi"/>
          <w:color w:val="0E2841" w:themeColor="text2"/>
        </w:rPr>
        <w:t>Training and competency</w:t>
      </w:r>
      <w:bookmarkEnd w:id="21"/>
    </w:p>
    <w:p w14:paraId="3F7759F2" w14:textId="77777777" w:rsidR="00BB64C0" w:rsidRPr="003E1AD0" w:rsidRDefault="00BB64C0" w:rsidP="00BB64C0">
      <w:pPr>
        <w:rPr>
          <w:color w:val="0E2841" w:themeColor="text2"/>
        </w:rPr>
      </w:pPr>
      <w:r w:rsidRPr="003E1AD0">
        <w:rPr>
          <w:color w:val="0E2841" w:themeColor="text2"/>
        </w:rPr>
        <w:t>Training should be role-based and practical. Focus on running a session end-to-end, including consent, documentation, and escalation.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3E1AD0" w:rsidRPr="003E1AD0" w14:paraId="6A3B236A" w14:textId="77777777" w:rsidTr="006B79F5">
        <w:tc>
          <w:tcPr>
            <w:tcW w:w="2880" w:type="dxa"/>
          </w:tcPr>
          <w:p w14:paraId="60C2796C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b/>
                <w:color w:val="0E2841" w:themeColor="text2"/>
              </w:rPr>
              <w:t>Role group</w:t>
            </w:r>
          </w:p>
        </w:tc>
        <w:tc>
          <w:tcPr>
            <w:tcW w:w="2880" w:type="dxa"/>
          </w:tcPr>
          <w:p w14:paraId="1FB8FC47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b/>
                <w:color w:val="0E2841" w:themeColor="text2"/>
              </w:rPr>
              <w:t>Training focus</w:t>
            </w:r>
          </w:p>
        </w:tc>
        <w:tc>
          <w:tcPr>
            <w:tcW w:w="2880" w:type="dxa"/>
          </w:tcPr>
          <w:p w14:paraId="16B2F3AE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b/>
                <w:color w:val="0E2841" w:themeColor="text2"/>
              </w:rPr>
              <w:t>Minimum competency check</w:t>
            </w:r>
          </w:p>
        </w:tc>
      </w:tr>
      <w:tr w:rsidR="003E1AD0" w:rsidRPr="003E1AD0" w14:paraId="2D432444" w14:textId="77777777" w:rsidTr="006B79F5">
        <w:tc>
          <w:tcPr>
            <w:tcW w:w="2880" w:type="dxa"/>
          </w:tcPr>
          <w:p w14:paraId="79CA851A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RNs / ENs</w:t>
            </w:r>
          </w:p>
        </w:tc>
        <w:tc>
          <w:tcPr>
            <w:tcW w:w="2880" w:type="dxa"/>
          </w:tcPr>
          <w:p w14:paraId="6961305A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Setup, starting session, peripherals, consent, escalation, documentation</w:t>
            </w:r>
          </w:p>
        </w:tc>
        <w:tc>
          <w:tcPr>
            <w:tcW w:w="2880" w:type="dxa"/>
          </w:tcPr>
          <w:p w14:paraId="5088DAEA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Run a mock consult end-to-end</w:t>
            </w:r>
          </w:p>
        </w:tc>
      </w:tr>
      <w:tr w:rsidR="003E1AD0" w:rsidRPr="003E1AD0" w14:paraId="048D7464" w14:textId="77777777" w:rsidTr="006B79F5">
        <w:tc>
          <w:tcPr>
            <w:tcW w:w="2880" w:type="dxa"/>
          </w:tcPr>
          <w:p w14:paraId="03D315B4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Care staff</w:t>
            </w:r>
          </w:p>
        </w:tc>
        <w:tc>
          <w:tcPr>
            <w:tcW w:w="2880" w:type="dxa"/>
          </w:tcPr>
          <w:p w14:paraId="53F45B6D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Resident preparation, privacy, assisting during consult</w:t>
            </w:r>
          </w:p>
        </w:tc>
        <w:tc>
          <w:tcPr>
            <w:tcW w:w="2880" w:type="dxa"/>
          </w:tcPr>
          <w:p w14:paraId="606457E9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Support a resident through a mock consult</w:t>
            </w:r>
          </w:p>
        </w:tc>
      </w:tr>
      <w:tr w:rsidR="003E1AD0" w:rsidRPr="003E1AD0" w14:paraId="3FF4DEE2" w14:textId="77777777" w:rsidTr="006B79F5">
        <w:tc>
          <w:tcPr>
            <w:tcW w:w="2880" w:type="dxa"/>
          </w:tcPr>
          <w:p w14:paraId="41B6E5A3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Admin / coordinators</w:t>
            </w:r>
          </w:p>
        </w:tc>
        <w:tc>
          <w:tcPr>
            <w:tcW w:w="2880" w:type="dxa"/>
          </w:tcPr>
          <w:p w14:paraId="209478BB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Booking, invitations, pre-read pack, follow-up tasks</w:t>
            </w:r>
          </w:p>
        </w:tc>
        <w:tc>
          <w:tcPr>
            <w:tcW w:w="2880" w:type="dxa"/>
          </w:tcPr>
          <w:p w14:paraId="7AE86197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Schedule and send a test invite correctly</w:t>
            </w:r>
          </w:p>
        </w:tc>
      </w:tr>
      <w:tr w:rsidR="003E1AD0" w:rsidRPr="003E1AD0" w14:paraId="5D778368" w14:textId="77777777" w:rsidTr="006B79F5">
        <w:tc>
          <w:tcPr>
            <w:tcW w:w="2880" w:type="dxa"/>
          </w:tcPr>
          <w:p w14:paraId="301755DA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External clinicians</w:t>
            </w:r>
          </w:p>
        </w:tc>
        <w:tc>
          <w:tcPr>
            <w:tcW w:w="2880" w:type="dxa"/>
          </w:tcPr>
          <w:p w14:paraId="0A454632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Joining calls, communication, expectations, documentation handover</w:t>
            </w:r>
          </w:p>
        </w:tc>
        <w:tc>
          <w:tcPr>
            <w:tcW w:w="2880" w:type="dxa"/>
          </w:tcPr>
          <w:p w14:paraId="1EA28FE8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Complete a short test call</w:t>
            </w:r>
          </w:p>
        </w:tc>
      </w:tr>
      <w:tr w:rsidR="003E1AD0" w:rsidRPr="003E1AD0" w14:paraId="68BB4D7A" w14:textId="77777777" w:rsidTr="006B79F5">
        <w:tc>
          <w:tcPr>
            <w:tcW w:w="2880" w:type="dxa"/>
          </w:tcPr>
          <w:p w14:paraId="4CF91B9A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Champions</w:t>
            </w:r>
          </w:p>
        </w:tc>
        <w:tc>
          <w:tcPr>
            <w:tcW w:w="2880" w:type="dxa"/>
          </w:tcPr>
          <w:p w14:paraId="0BA4AF3A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Troubleshooting, coaching, issue logging</w:t>
            </w:r>
          </w:p>
        </w:tc>
        <w:tc>
          <w:tcPr>
            <w:tcW w:w="2880" w:type="dxa"/>
          </w:tcPr>
          <w:p w14:paraId="47E2F419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Troubleshoot common issues in simulation</w:t>
            </w:r>
          </w:p>
        </w:tc>
      </w:tr>
    </w:tbl>
    <w:p w14:paraId="74983ED3" w14:textId="77777777" w:rsidR="00BB64C0" w:rsidRPr="003E1AD0" w:rsidRDefault="00BB64C0" w:rsidP="00BB64C0">
      <w:pPr>
        <w:rPr>
          <w:color w:val="0E2841" w:themeColor="text2"/>
        </w:rPr>
      </w:pPr>
    </w:p>
    <w:p w14:paraId="0FAF0803" w14:textId="77777777" w:rsidR="00BB64C0" w:rsidRPr="003E1AD0" w:rsidRDefault="00BB64C0" w:rsidP="00BB64C0">
      <w:pPr>
        <w:rPr>
          <w:color w:val="0E2841" w:themeColor="text2"/>
        </w:rPr>
      </w:pPr>
      <w:r w:rsidRPr="003E1AD0">
        <w:rPr>
          <w:color w:val="0E2841" w:themeColor="text2"/>
        </w:rPr>
        <w:t>Record attendance and completion. Provide refresher training for new staff and for low-use periods.</w:t>
      </w:r>
    </w:p>
    <w:p w14:paraId="48D3092C" w14:textId="77777777" w:rsidR="00BB64C0" w:rsidRPr="003E1AD0" w:rsidRDefault="00BB64C0" w:rsidP="00BB64C0">
      <w:pPr>
        <w:rPr>
          <w:color w:val="0E2841" w:themeColor="text2"/>
        </w:rPr>
      </w:pPr>
    </w:p>
    <w:p w14:paraId="6313ABA8" w14:textId="77777777" w:rsidR="00BB64C0" w:rsidRPr="003E1AD0" w:rsidRDefault="00BB64C0" w:rsidP="00BB64C0">
      <w:pPr>
        <w:pStyle w:val="Heading1"/>
        <w:rPr>
          <w:rFonts w:asciiTheme="minorHAnsi" w:hAnsiTheme="minorHAnsi"/>
          <w:color w:val="0E2841" w:themeColor="text2"/>
        </w:rPr>
      </w:pPr>
      <w:bookmarkStart w:id="22" w:name="_Toc223004252"/>
      <w:r w:rsidRPr="003E1AD0">
        <w:rPr>
          <w:rFonts w:asciiTheme="minorHAnsi" w:hAnsiTheme="minorHAnsi"/>
          <w:color w:val="0E2841" w:themeColor="text2"/>
        </w:rPr>
        <w:lastRenderedPageBreak/>
        <w:t xml:space="preserve">Go-live and </w:t>
      </w:r>
      <w:proofErr w:type="spellStart"/>
      <w:r w:rsidRPr="003E1AD0">
        <w:rPr>
          <w:rFonts w:asciiTheme="minorHAnsi" w:hAnsiTheme="minorHAnsi"/>
          <w:color w:val="0E2841" w:themeColor="text2"/>
        </w:rPr>
        <w:t>hypercare</w:t>
      </w:r>
      <w:bookmarkEnd w:id="22"/>
      <w:proofErr w:type="spellEnd"/>
    </w:p>
    <w:p w14:paraId="04AD4199" w14:textId="77777777" w:rsidR="00BB64C0" w:rsidRPr="003E1AD0" w:rsidRDefault="00BB64C0" w:rsidP="00BB64C0">
      <w:pPr>
        <w:pStyle w:val="Heading2"/>
        <w:rPr>
          <w:rFonts w:asciiTheme="minorHAnsi" w:hAnsiTheme="minorHAnsi"/>
          <w:color w:val="0E2841" w:themeColor="text2"/>
        </w:rPr>
      </w:pPr>
      <w:bookmarkStart w:id="23" w:name="_Toc223004253"/>
      <w:r w:rsidRPr="003E1AD0">
        <w:rPr>
          <w:rFonts w:asciiTheme="minorHAnsi" w:hAnsiTheme="minorHAnsi"/>
          <w:color w:val="0E2841" w:themeColor="text2"/>
        </w:rPr>
        <w:t>Go-live readiness checklist</w:t>
      </w:r>
      <w:bookmarkEnd w:id="23"/>
    </w:p>
    <w:p w14:paraId="05BA3DD6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Phase 1 workflows signed off by Clinical Lead</w:t>
      </w:r>
    </w:p>
    <w:p w14:paraId="54E2F782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Technical checklist completed and test calls passed</w:t>
      </w:r>
    </w:p>
    <w:p w14:paraId="223E1BFB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Champions rostered for go-live week</w:t>
      </w:r>
    </w:p>
    <w:p w14:paraId="43C43949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Quick reference guides printed and placed near equipment</w:t>
      </w:r>
    </w:p>
    <w:p w14:paraId="59D67BD6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External providers onboarded and test calls completed</w:t>
      </w:r>
    </w:p>
    <w:p w14:paraId="1459A42D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Support escalation pathway confirmed</w:t>
      </w:r>
    </w:p>
    <w:p w14:paraId="4DFC073F" w14:textId="77777777" w:rsidR="00BB64C0" w:rsidRPr="003E1AD0" w:rsidRDefault="00BB64C0" w:rsidP="00BB64C0">
      <w:pPr>
        <w:rPr>
          <w:color w:val="0E2841" w:themeColor="text2"/>
        </w:rPr>
      </w:pPr>
    </w:p>
    <w:p w14:paraId="58AEDEDE" w14:textId="77777777" w:rsidR="00BB64C0" w:rsidRPr="003E1AD0" w:rsidRDefault="00BB64C0" w:rsidP="00BB64C0">
      <w:pPr>
        <w:pStyle w:val="Heading2"/>
        <w:rPr>
          <w:rFonts w:asciiTheme="minorHAnsi" w:hAnsiTheme="minorHAnsi"/>
          <w:color w:val="0E2841" w:themeColor="text2"/>
        </w:rPr>
      </w:pPr>
      <w:bookmarkStart w:id="24" w:name="_Toc223004254"/>
      <w:r w:rsidRPr="003E1AD0">
        <w:rPr>
          <w:rFonts w:asciiTheme="minorHAnsi" w:hAnsiTheme="minorHAnsi"/>
          <w:color w:val="0E2841" w:themeColor="text2"/>
        </w:rPr>
        <w:t>Hypercare plan</w:t>
      </w:r>
      <w:bookmarkEnd w:id="24"/>
    </w:p>
    <w:p w14:paraId="47A8C277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Daily check-in for week 1 to capture issues and resolve quickly</w:t>
      </w:r>
    </w:p>
    <w:p w14:paraId="30392493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Twice weekly check-in for weeks 2 to 4 (or as required)</w:t>
      </w:r>
    </w:p>
    <w:p w14:paraId="1B3CF0F9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 xml:space="preserve">Log issues in a </w:t>
      </w:r>
      <w:proofErr w:type="gramStart"/>
      <w:r w:rsidRPr="003E1AD0">
        <w:rPr>
          <w:rFonts w:asciiTheme="minorHAnsi" w:hAnsiTheme="minorHAnsi"/>
          <w:color w:val="0E2841" w:themeColor="text2"/>
        </w:rPr>
        <w:t>single issues</w:t>
      </w:r>
      <w:proofErr w:type="gramEnd"/>
      <w:r w:rsidRPr="003E1AD0">
        <w:rPr>
          <w:rFonts w:asciiTheme="minorHAnsi" w:hAnsiTheme="minorHAnsi"/>
          <w:color w:val="0E2841" w:themeColor="text2"/>
        </w:rPr>
        <w:t xml:space="preserve"> register and assign owners and due dates</w:t>
      </w:r>
    </w:p>
    <w:p w14:paraId="0BF54492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Escalate any patient safety incidents via the home’s usual incident management process</w:t>
      </w:r>
    </w:p>
    <w:p w14:paraId="5B544CC9" w14:textId="77777777" w:rsidR="00BB64C0" w:rsidRPr="003E1AD0" w:rsidRDefault="00BB64C0" w:rsidP="00BB64C0">
      <w:pPr>
        <w:rPr>
          <w:color w:val="0E2841" w:themeColor="text2"/>
        </w:rPr>
      </w:pPr>
    </w:p>
    <w:p w14:paraId="4C129A41" w14:textId="77777777" w:rsidR="00BB64C0" w:rsidRPr="003E1AD0" w:rsidRDefault="00BB64C0" w:rsidP="00BB64C0">
      <w:pPr>
        <w:pStyle w:val="Heading1"/>
        <w:rPr>
          <w:rFonts w:asciiTheme="minorHAnsi" w:hAnsiTheme="minorHAnsi"/>
          <w:color w:val="0E2841" w:themeColor="text2"/>
        </w:rPr>
      </w:pPr>
      <w:bookmarkStart w:id="25" w:name="_Toc223004255"/>
      <w:r w:rsidRPr="003E1AD0">
        <w:rPr>
          <w:rFonts w:asciiTheme="minorHAnsi" w:hAnsiTheme="minorHAnsi"/>
          <w:color w:val="0E2841" w:themeColor="text2"/>
        </w:rPr>
        <w:t>BAU operations and continuous improvement</w:t>
      </w:r>
      <w:bookmarkEnd w:id="25"/>
    </w:p>
    <w:p w14:paraId="00B48449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Embed SOPs into the home’s quality system and review at 90 days, then annually.</w:t>
      </w:r>
    </w:p>
    <w:p w14:paraId="2843A1BD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Maintain equipment cleaning, storage, and charging routines.</w:t>
      </w:r>
    </w:p>
    <w:p w14:paraId="45A0927F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Review usage monthly (number of sessions, common use cases, failure rates, provider participation).</w:t>
      </w:r>
    </w:p>
    <w:p w14:paraId="3C20F860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Run a 30-day and 90-day improvement review with actions.</w:t>
      </w:r>
    </w:p>
    <w:p w14:paraId="57E56220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Confirm a pathway for onboarding new external providers and new staff.</w:t>
      </w:r>
    </w:p>
    <w:p w14:paraId="15F24B02" w14:textId="77777777" w:rsidR="00BB64C0" w:rsidRPr="003E1AD0" w:rsidRDefault="00BB64C0" w:rsidP="00BB64C0">
      <w:pPr>
        <w:rPr>
          <w:color w:val="0E2841" w:themeColor="text2"/>
        </w:rPr>
      </w:pPr>
    </w:p>
    <w:p w14:paraId="0B3435FD" w14:textId="77777777" w:rsidR="00BB64C0" w:rsidRPr="003E1AD0" w:rsidRDefault="00BB64C0" w:rsidP="00BB64C0">
      <w:pPr>
        <w:pStyle w:val="Heading1"/>
        <w:rPr>
          <w:rFonts w:asciiTheme="minorHAnsi" w:hAnsiTheme="minorHAnsi"/>
          <w:color w:val="0E2841" w:themeColor="text2"/>
        </w:rPr>
      </w:pPr>
      <w:bookmarkStart w:id="26" w:name="_Toc223004256"/>
      <w:r w:rsidRPr="003E1AD0">
        <w:rPr>
          <w:rFonts w:asciiTheme="minorHAnsi" w:hAnsiTheme="minorHAnsi"/>
          <w:color w:val="0E2841" w:themeColor="text2"/>
        </w:rPr>
        <w:t>Sign-off record</w:t>
      </w:r>
      <w:bookmarkEnd w:id="26"/>
    </w:p>
    <w:p w14:paraId="6D07EF78" w14:textId="77777777" w:rsidR="00BB64C0" w:rsidRPr="003E1AD0" w:rsidRDefault="00BB64C0" w:rsidP="00BB64C0">
      <w:pPr>
        <w:rPr>
          <w:color w:val="0E2841" w:themeColor="text2"/>
        </w:rPr>
      </w:pPr>
      <w:r w:rsidRPr="003E1AD0">
        <w:rPr>
          <w:color w:val="0E2841" w:themeColor="text2"/>
        </w:rPr>
        <w:t xml:space="preserve">Do not proceed to go-live until the </w:t>
      </w:r>
      <w:proofErr w:type="gramStart"/>
      <w:r w:rsidRPr="003E1AD0">
        <w:rPr>
          <w:color w:val="0E2841" w:themeColor="text2"/>
        </w:rPr>
        <w:t>sign-offs</w:t>
      </w:r>
      <w:proofErr w:type="gramEnd"/>
      <w:r w:rsidRPr="003E1AD0">
        <w:rPr>
          <w:color w:val="0E2841" w:themeColor="text2"/>
        </w:rPr>
        <w:t xml:space="preserve"> below are completed.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3E1AD0" w:rsidRPr="003E1AD0" w14:paraId="60EBC1CE" w14:textId="77777777" w:rsidTr="006B79F5">
        <w:tc>
          <w:tcPr>
            <w:tcW w:w="2160" w:type="dxa"/>
          </w:tcPr>
          <w:p w14:paraId="647AB026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b/>
                <w:color w:val="0E2841" w:themeColor="text2"/>
              </w:rPr>
              <w:t>Sign-off</w:t>
            </w:r>
          </w:p>
        </w:tc>
        <w:tc>
          <w:tcPr>
            <w:tcW w:w="2160" w:type="dxa"/>
          </w:tcPr>
          <w:p w14:paraId="51C48ED3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b/>
                <w:color w:val="0E2841" w:themeColor="text2"/>
              </w:rPr>
              <w:t>Name</w:t>
            </w:r>
          </w:p>
        </w:tc>
        <w:tc>
          <w:tcPr>
            <w:tcW w:w="2160" w:type="dxa"/>
          </w:tcPr>
          <w:p w14:paraId="7CA81981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b/>
                <w:color w:val="0E2841" w:themeColor="text2"/>
              </w:rPr>
              <w:t>Signature</w:t>
            </w:r>
          </w:p>
        </w:tc>
        <w:tc>
          <w:tcPr>
            <w:tcW w:w="2160" w:type="dxa"/>
          </w:tcPr>
          <w:p w14:paraId="57E7566F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b/>
                <w:color w:val="0E2841" w:themeColor="text2"/>
              </w:rPr>
              <w:t>Date</w:t>
            </w:r>
          </w:p>
        </w:tc>
      </w:tr>
      <w:tr w:rsidR="003E1AD0" w:rsidRPr="003E1AD0" w14:paraId="3F98CE58" w14:textId="77777777" w:rsidTr="006B79F5">
        <w:tc>
          <w:tcPr>
            <w:tcW w:w="2160" w:type="dxa"/>
          </w:tcPr>
          <w:p w14:paraId="4F76E1BD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Clinical Lead (workflow safety)</w:t>
            </w:r>
          </w:p>
        </w:tc>
        <w:tc>
          <w:tcPr>
            <w:tcW w:w="2160" w:type="dxa"/>
          </w:tcPr>
          <w:p w14:paraId="1EBEEAB3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2160" w:type="dxa"/>
          </w:tcPr>
          <w:p w14:paraId="1D3EA31B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2160" w:type="dxa"/>
          </w:tcPr>
          <w:p w14:paraId="070400A1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</w:tr>
      <w:tr w:rsidR="003E1AD0" w:rsidRPr="003E1AD0" w14:paraId="0C6DFAB1" w14:textId="77777777" w:rsidTr="006B79F5">
        <w:tc>
          <w:tcPr>
            <w:tcW w:w="2160" w:type="dxa"/>
          </w:tcPr>
          <w:p w14:paraId="6430E61A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IT Lead (technical readiness)</w:t>
            </w:r>
          </w:p>
        </w:tc>
        <w:tc>
          <w:tcPr>
            <w:tcW w:w="2160" w:type="dxa"/>
          </w:tcPr>
          <w:p w14:paraId="42F84F02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2160" w:type="dxa"/>
          </w:tcPr>
          <w:p w14:paraId="4AFBD837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2160" w:type="dxa"/>
          </w:tcPr>
          <w:p w14:paraId="3AA2A3AD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</w:tr>
      <w:tr w:rsidR="003E1AD0" w:rsidRPr="003E1AD0" w14:paraId="61690693" w14:textId="77777777" w:rsidTr="006B79F5">
        <w:tc>
          <w:tcPr>
            <w:tcW w:w="2160" w:type="dxa"/>
          </w:tcPr>
          <w:p w14:paraId="72371FC8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lastRenderedPageBreak/>
              <w:t>Facility Manager (operations readiness)</w:t>
            </w:r>
          </w:p>
        </w:tc>
        <w:tc>
          <w:tcPr>
            <w:tcW w:w="2160" w:type="dxa"/>
          </w:tcPr>
          <w:p w14:paraId="47CB206F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2160" w:type="dxa"/>
          </w:tcPr>
          <w:p w14:paraId="56A82800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2160" w:type="dxa"/>
          </w:tcPr>
          <w:p w14:paraId="0C137480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</w:tr>
      <w:tr w:rsidR="003E1AD0" w:rsidRPr="003E1AD0" w14:paraId="79182CB3" w14:textId="77777777" w:rsidTr="006B79F5">
        <w:tc>
          <w:tcPr>
            <w:tcW w:w="2160" w:type="dxa"/>
          </w:tcPr>
          <w:p w14:paraId="152E1876" w14:textId="77777777" w:rsidR="00BB64C0" w:rsidRPr="003E1AD0" w:rsidRDefault="00BB64C0" w:rsidP="006B79F5">
            <w:pPr>
              <w:rPr>
                <w:color w:val="0E2841" w:themeColor="text2"/>
              </w:rPr>
            </w:pPr>
            <w:r w:rsidRPr="003E1AD0">
              <w:rPr>
                <w:color w:val="0E2841" w:themeColor="text2"/>
              </w:rPr>
              <w:t>Project Lead (training and comms)</w:t>
            </w:r>
          </w:p>
        </w:tc>
        <w:tc>
          <w:tcPr>
            <w:tcW w:w="2160" w:type="dxa"/>
          </w:tcPr>
          <w:p w14:paraId="246D1F4A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2160" w:type="dxa"/>
          </w:tcPr>
          <w:p w14:paraId="09562B1C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  <w:tc>
          <w:tcPr>
            <w:tcW w:w="2160" w:type="dxa"/>
          </w:tcPr>
          <w:p w14:paraId="49C080C0" w14:textId="77777777" w:rsidR="00BB64C0" w:rsidRPr="003E1AD0" w:rsidRDefault="00BB64C0" w:rsidP="006B79F5">
            <w:pPr>
              <w:rPr>
                <w:color w:val="0E2841" w:themeColor="text2"/>
              </w:rPr>
            </w:pPr>
          </w:p>
        </w:tc>
      </w:tr>
    </w:tbl>
    <w:p w14:paraId="2F77BEE6" w14:textId="77777777" w:rsidR="00BB64C0" w:rsidRPr="003E1AD0" w:rsidRDefault="00BB64C0" w:rsidP="00BB64C0">
      <w:pPr>
        <w:rPr>
          <w:color w:val="0E2841" w:themeColor="text2"/>
        </w:rPr>
      </w:pPr>
    </w:p>
    <w:p w14:paraId="1FE33860" w14:textId="77777777" w:rsidR="00BB64C0" w:rsidRPr="003E1AD0" w:rsidRDefault="00BB64C0" w:rsidP="00BB64C0">
      <w:pPr>
        <w:pStyle w:val="Heading1"/>
        <w:rPr>
          <w:rFonts w:asciiTheme="minorHAnsi" w:hAnsiTheme="minorHAnsi"/>
          <w:color w:val="0E2841" w:themeColor="text2"/>
        </w:rPr>
      </w:pPr>
      <w:bookmarkStart w:id="27" w:name="_Toc223004257"/>
      <w:r w:rsidRPr="003E1AD0">
        <w:rPr>
          <w:rFonts w:asciiTheme="minorHAnsi" w:hAnsiTheme="minorHAnsi"/>
          <w:color w:val="0E2841" w:themeColor="text2"/>
        </w:rPr>
        <w:t>Useful references (optional)</w:t>
      </w:r>
      <w:bookmarkEnd w:id="27"/>
    </w:p>
    <w:p w14:paraId="6AF684E7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AHPRA virtual care guidance: https://www.ahpra.gov.au/Resources/Information-for-practitioners-who-provide-virtual-care.aspx</w:t>
      </w:r>
    </w:p>
    <w:p w14:paraId="0E557D72" w14:textId="77777777" w:rsidR="00BB64C0" w:rsidRPr="003E1AD0" w:rsidRDefault="00BB64C0" w:rsidP="00BB64C0">
      <w:pPr>
        <w:pStyle w:val="ListBullet"/>
        <w:tabs>
          <w:tab w:val="num" w:pos="360"/>
        </w:tabs>
        <w:ind w:left="360" w:hanging="360"/>
        <w:rPr>
          <w:rFonts w:asciiTheme="minorHAnsi" w:hAnsiTheme="minorHAnsi"/>
          <w:color w:val="0E2841" w:themeColor="text2"/>
        </w:rPr>
      </w:pPr>
      <w:r w:rsidRPr="003E1AD0">
        <w:rPr>
          <w:rFonts w:asciiTheme="minorHAnsi" w:hAnsiTheme="minorHAnsi"/>
          <w:color w:val="0E2841" w:themeColor="text2"/>
        </w:rPr>
        <w:t>OAIC health service provider privacy guidance: https://www.oaic.gov.au/privacy/health-service-providers</w:t>
      </w:r>
    </w:p>
    <w:p w14:paraId="00BA24B5" w14:textId="77777777" w:rsidR="00BB64C0" w:rsidRPr="003E1AD0" w:rsidRDefault="00BB64C0" w:rsidP="00BB64C0">
      <w:pPr>
        <w:rPr>
          <w:color w:val="0E2841" w:themeColor="text2"/>
        </w:rPr>
      </w:pPr>
    </w:p>
    <w:p w14:paraId="3E17AE0F" w14:textId="001EE044" w:rsidR="00A66AE8" w:rsidRPr="003E1AD0" w:rsidRDefault="00883EDF" w:rsidP="005871E5">
      <w:pPr>
        <w:pStyle w:val="Heading1"/>
      </w:pPr>
      <w:bookmarkStart w:id="28" w:name="_Toc223004258"/>
      <w:r w:rsidRPr="003E1AD0">
        <w:t>References and useful resources</w:t>
      </w:r>
      <w:bookmarkEnd w:id="0"/>
      <w:bookmarkEnd w:id="28"/>
    </w:p>
    <w:p w14:paraId="2D7D464C" w14:textId="48821DB4" w:rsidR="00A66AE8" w:rsidRPr="003E1AD0" w:rsidRDefault="00883EDF">
      <w:pPr>
        <w:spacing w:after="120"/>
        <w:rPr>
          <w:color w:val="0E2841" w:themeColor="text2"/>
          <w:szCs w:val="22"/>
        </w:rPr>
      </w:pPr>
      <w:r w:rsidRPr="003E1AD0">
        <w:rPr>
          <w:color w:val="0E2841" w:themeColor="text2"/>
          <w:szCs w:val="22"/>
        </w:rPr>
        <w:t>These links are provided for convenience. Customers should apply their own governance, policies and jurisdictional requirements.</w:t>
      </w:r>
      <w:r w:rsidR="00BA74CE" w:rsidRPr="003E1AD0">
        <w:rPr>
          <w:color w:val="0E2841" w:themeColor="text2"/>
          <w:szCs w:val="22"/>
        </w:rPr>
        <w:br/>
      </w:r>
    </w:p>
    <w:p w14:paraId="39FEAB13" w14:textId="77777777" w:rsidR="00A66AE8" w:rsidRPr="003E1AD0" w:rsidRDefault="00883EDF">
      <w:pPr>
        <w:rPr>
          <w:color w:val="0E2841" w:themeColor="text2"/>
          <w:szCs w:val="22"/>
        </w:rPr>
      </w:pPr>
      <w:r w:rsidRPr="003E1AD0">
        <w:rPr>
          <w:color w:val="0E2841" w:themeColor="text2"/>
          <w:szCs w:val="22"/>
        </w:rPr>
        <w:t xml:space="preserve">R1. AHPRA – Information for practitioners who provide virtual care: </w:t>
      </w:r>
      <w:hyperlink r:id="rId11">
        <w:r w:rsidR="00A66AE8" w:rsidRPr="003E1AD0">
          <w:rPr>
            <w:rStyle w:val="Hyperlink"/>
            <w:color w:val="0E2841" w:themeColor="text2"/>
            <w:szCs w:val="22"/>
          </w:rPr>
          <w:t>https://www.ahpra.gov.au/Resources/Information-for-practitioners-who-provide-virtual-care.aspx</w:t>
        </w:r>
      </w:hyperlink>
    </w:p>
    <w:p w14:paraId="79F5CD18" w14:textId="77777777" w:rsidR="00A66AE8" w:rsidRPr="003E1AD0" w:rsidRDefault="00883EDF">
      <w:pPr>
        <w:rPr>
          <w:color w:val="0E2841" w:themeColor="text2"/>
          <w:szCs w:val="22"/>
        </w:rPr>
      </w:pPr>
      <w:r w:rsidRPr="003E1AD0">
        <w:rPr>
          <w:color w:val="0E2841" w:themeColor="text2"/>
          <w:szCs w:val="22"/>
        </w:rPr>
        <w:t xml:space="preserve">R2. Medical Board of Australia – Telehealth consultations with patients: </w:t>
      </w:r>
      <w:hyperlink r:id="rId12">
        <w:r w:rsidR="00A66AE8" w:rsidRPr="003E1AD0">
          <w:rPr>
            <w:rStyle w:val="Hyperlink"/>
            <w:color w:val="0E2841" w:themeColor="text2"/>
            <w:szCs w:val="22"/>
          </w:rPr>
          <w:t>https://www.medicalboard.gov.au/Codes-Guidelines-Policies/Telehealth-consultations-with-patients.aspx</w:t>
        </w:r>
      </w:hyperlink>
    </w:p>
    <w:p w14:paraId="65C9FFB6" w14:textId="77777777" w:rsidR="00A66AE8" w:rsidRPr="003E1AD0" w:rsidRDefault="00883EDF">
      <w:pPr>
        <w:rPr>
          <w:color w:val="0E2841" w:themeColor="text2"/>
          <w:szCs w:val="22"/>
        </w:rPr>
      </w:pPr>
      <w:r w:rsidRPr="003E1AD0">
        <w:rPr>
          <w:color w:val="0E2841" w:themeColor="text2"/>
          <w:szCs w:val="22"/>
        </w:rPr>
        <w:t xml:space="preserve">R3. RACGP – Principles for conducting telephone and video consultations (consent, introductions): </w:t>
      </w:r>
      <w:hyperlink r:id="rId13">
        <w:r w:rsidR="00A66AE8" w:rsidRPr="003E1AD0">
          <w:rPr>
            <w:rStyle w:val="Hyperlink"/>
            <w:color w:val="0E2841" w:themeColor="text2"/>
            <w:szCs w:val="22"/>
          </w:rPr>
          <w:t>https://www.racgp.org.au/running-a-practice/technology/clinical-technology/telehealth/guide-to-providing-telephone-and-video-consultatio/principles-for-conducting-telehealth-consultations</w:t>
        </w:r>
      </w:hyperlink>
    </w:p>
    <w:p w14:paraId="1163DBD6" w14:textId="77777777" w:rsidR="00A66AE8" w:rsidRPr="003E1AD0" w:rsidRDefault="00883EDF">
      <w:pPr>
        <w:rPr>
          <w:color w:val="0E2841" w:themeColor="text2"/>
          <w:szCs w:val="22"/>
        </w:rPr>
      </w:pPr>
      <w:r w:rsidRPr="003E1AD0">
        <w:rPr>
          <w:color w:val="0E2841" w:themeColor="text2"/>
          <w:szCs w:val="22"/>
        </w:rPr>
        <w:t xml:space="preserve">R4. OAIC – Guide to health privacy: </w:t>
      </w:r>
      <w:hyperlink r:id="rId14">
        <w:r w:rsidR="00A66AE8" w:rsidRPr="003E1AD0">
          <w:rPr>
            <w:rStyle w:val="Hyperlink"/>
            <w:color w:val="0E2841" w:themeColor="text2"/>
            <w:szCs w:val="22"/>
          </w:rPr>
          <w:t>https://www.oaic.gov.au/privacy/privacy-guidance-for-organisations-and-government-agencies/health-service-providers/guide-to-health-privacy</w:t>
        </w:r>
      </w:hyperlink>
    </w:p>
    <w:p w14:paraId="3EF557BD" w14:textId="77777777" w:rsidR="00A66AE8" w:rsidRPr="003E1AD0" w:rsidRDefault="00883EDF">
      <w:pPr>
        <w:rPr>
          <w:color w:val="0E2841" w:themeColor="text2"/>
          <w:szCs w:val="22"/>
        </w:rPr>
      </w:pPr>
      <w:r w:rsidRPr="003E1AD0">
        <w:rPr>
          <w:color w:val="0E2841" w:themeColor="text2"/>
          <w:szCs w:val="22"/>
        </w:rPr>
        <w:t xml:space="preserve">R5. Australian Digital Health Agency – Using Online Conferencing Technologies Securely (PDF): </w:t>
      </w:r>
      <w:hyperlink r:id="rId15">
        <w:r w:rsidR="00A66AE8" w:rsidRPr="003E1AD0">
          <w:rPr>
            <w:rStyle w:val="Hyperlink"/>
            <w:color w:val="0E2841" w:themeColor="text2"/>
            <w:szCs w:val="22"/>
          </w:rPr>
          <w:t>https://www.digitalhealth.gov.au/sites/default/files/2020-11/Online_conferencing_technologies-Connected_secure_consultations.pdf</w:t>
        </w:r>
      </w:hyperlink>
    </w:p>
    <w:p w14:paraId="6533D3EF" w14:textId="77777777" w:rsidR="00A66AE8" w:rsidRPr="003E1AD0" w:rsidRDefault="00883EDF">
      <w:pPr>
        <w:rPr>
          <w:color w:val="0E2841" w:themeColor="text2"/>
          <w:szCs w:val="22"/>
        </w:rPr>
      </w:pPr>
      <w:r w:rsidRPr="003E1AD0">
        <w:rPr>
          <w:color w:val="0E2841" w:themeColor="text2"/>
          <w:szCs w:val="22"/>
        </w:rPr>
        <w:t xml:space="preserve">R6. NSW Agency for Clinical Innovation – Virtual care in practice: Implementation: </w:t>
      </w:r>
      <w:hyperlink r:id="rId16">
        <w:r w:rsidR="00A66AE8" w:rsidRPr="003E1AD0">
          <w:rPr>
            <w:rStyle w:val="Hyperlink"/>
            <w:color w:val="0E2841" w:themeColor="text2"/>
            <w:szCs w:val="22"/>
          </w:rPr>
          <w:t>https://aci.health.nsw.gov.au/virtual-care-in-practice/implementation</w:t>
        </w:r>
      </w:hyperlink>
    </w:p>
    <w:p w14:paraId="105675B5" w14:textId="77777777" w:rsidR="00A66AE8" w:rsidRPr="003E1AD0" w:rsidRDefault="00883EDF">
      <w:pPr>
        <w:rPr>
          <w:color w:val="0E2841" w:themeColor="text2"/>
          <w:szCs w:val="22"/>
        </w:rPr>
      </w:pPr>
      <w:r w:rsidRPr="003E1AD0">
        <w:rPr>
          <w:color w:val="0E2841" w:themeColor="text2"/>
          <w:szCs w:val="22"/>
        </w:rPr>
        <w:lastRenderedPageBreak/>
        <w:t xml:space="preserve">R7. NSW Agency for Clinical Innovation – Monitoring, evaluation and research: </w:t>
      </w:r>
      <w:hyperlink r:id="rId17">
        <w:r w:rsidR="00A66AE8" w:rsidRPr="003E1AD0">
          <w:rPr>
            <w:rStyle w:val="Hyperlink"/>
            <w:color w:val="0E2841" w:themeColor="text2"/>
            <w:szCs w:val="22"/>
          </w:rPr>
          <w:t>https://aci.health.nsw.gov.au/virtual-care-in-practice/implementation/monitoring-and-evaluation</w:t>
        </w:r>
      </w:hyperlink>
    </w:p>
    <w:p w14:paraId="5FEE5A39" w14:textId="77777777" w:rsidR="00A66AE8" w:rsidRPr="003E1AD0" w:rsidRDefault="00883EDF">
      <w:pPr>
        <w:rPr>
          <w:color w:val="0E2841" w:themeColor="text2"/>
          <w:szCs w:val="22"/>
        </w:rPr>
      </w:pPr>
      <w:r w:rsidRPr="003E1AD0">
        <w:rPr>
          <w:color w:val="0E2841" w:themeColor="text2"/>
          <w:szCs w:val="22"/>
        </w:rPr>
        <w:t xml:space="preserve">R8. Australian Commission on Safety and Quality in Health Care – Safety and quality in virtual care: </w:t>
      </w:r>
      <w:hyperlink r:id="rId18">
        <w:r w:rsidR="00A66AE8" w:rsidRPr="003E1AD0">
          <w:rPr>
            <w:rStyle w:val="Hyperlink"/>
            <w:color w:val="0E2841" w:themeColor="text2"/>
            <w:szCs w:val="22"/>
          </w:rPr>
          <w:t>https://www.safetyandquality.gov.au/our-work/e-health-safety/safety-and-quality-virtual-care</w:t>
        </w:r>
      </w:hyperlink>
    </w:p>
    <w:p w14:paraId="560822C2" w14:textId="77777777" w:rsidR="00A66AE8" w:rsidRPr="003E1AD0" w:rsidRDefault="00883EDF">
      <w:pPr>
        <w:rPr>
          <w:color w:val="0E2841" w:themeColor="text2"/>
          <w:szCs w:val="22"/>
        </w:rPr>
      </w:pPr>
      <w:r w:rsidRPr="003E1AD0">
        <w:rPr>
          <w:color w:val="0E2841" w:themeColor="text2"/>
          <w:szCs w:val="22"/>
        </w:rPr>
        <w:t xml:space="preserve">R9. ACSQHC – Recognising and Responding to Acute Deterioration Standard: </w:t>
      </w:r>
      <w:hyperlink r:id="rId19">
        <w:r w:rsidR="00A66AE8" w:rsidRPr="003E1AD0">
          <w:rPr>
            <w:rStyle w:val="Hyperlink"/>
            <w:color w:val="0E2841" w:themeColor="text2"/>
            <w:szCs w:val="22"/>
          </w:rPr>
          <w:t>https://www.safetyandquality.gov.au/standards/nsqhs-standards/recognising-and-responding-acute-deterioration-standard</w:t>
        </w:r>
      </w:hyperlink>
    </w:p>
    <w:p w14:paraId="112A5574" w14:textId="77777777" w:rsidR="00A66AE8" w:rsidRPr="003E1AD0" w:rsidRDefault="00883EDF">
      <w:pPr>
        <w:rPr>
          <w:color w:val="0E2841" w:themeColor="text2"/>
          <w:szCs w:val="22"/>
        </w:rPr>
      </w:pPr>
      <w:r w:rsidRPr="003E1AD0">
        <w:rPr>
          <w:color w:val="0E2841" w:themeColor="text2"/>
          <w:szCs w:val="22"/>
        </w:rPr>
        <w:t xml:space="preserve">R10. NSW Clinical Excellence Commission – Embedding virtual care in safety and quality frameworks (PDF): </w:t>
      </w:r>
      <w:hyperlink r:id="rId20">
        <w:r w:rsidR="00A66AE8" w:rsidRPr="003E1AD0">
          <w:rPr>
            <w:rStyle w:val="Hyperlink"/>
            <w:color w:val="0E2841" w:themeColor="text2"/>
            <w:szCs w:val="22"/>
          </w:rPr>
          <w:t>https://www.cec.health.nsw.gov.au/__data/assets/pdf_file/0010/805906/Embedding-virtual-care-in-safety-and-quality-frameworks.pdf</w:t>
        </w:r>
      </w:hyperlink>
    </w:p>
    <w:p w14:paraId="201D08FA" w14:textId="77777777" w:rsidR="00A66AE8" w:rsidRPr="003E1AD0" w:rsidRDefault="00883EDF">
      <w:pPr>
        <w:rPr>
          <w:color w:val="0E2841" w:themeColor="text2"/>
          <w:szCs w:val="22"/>
        </w:rPr>
      </w:pPr>
      <w:r w:rsidRPr="003E1AD0">
        <w:rPr>
          <w:color w:val="0E2841" w:themeColor="text2"/>
          <w:szCs w:val="22"/>
        </w:rPr>
        <w:t xml:space="preserve">R11. Victorian Department of Health – Virtual Care Operational Framework core elements: </w:t>
      </w:r>
      <w:hyperlink r:id="rId21">
        <w:r w:rsidR="00A66AE8" w:rsidRPr="003E1AD0">
          <w:rPr>
            <w:rStyle w:val="Hyperlink"/>
            <w:color w:val="0E2841" w:themeColor="text2"/>
            <w:szCs w:val="22"/>
          </w:rPr>
          <w:t>https://www.health.vic.gov.au/virtual-care-operational-framework/virtual-care-operating-framework</w:t>
        </w:r>
      </w:hyperlink>
    </w:p>
    <w:p w14:paraId="14AC29F2" w14:textId="03B766BB" w:rsidR="009843DF" w:rsidRPr="003E1AD0" w:rsidRDefault="009843DF">
      <w:pPr>
        <w:rPr>
          <w:color w:val="0E2841" w:themeColor="text2"/>
          <w:szCs w:val="22"/>
        </w:rPr>
      </w:pPr>
      <w:r w:rsidRPr="003E1AD0">
        <w:rPr>
          <w:color w:val="0E2841" w:themeColor="text2"/>
          <w:szCs w:val="22"/>
        </w:rPr>
        <w:t xml:space="preserve">R12. </w:t>
      </w:r>
      <w:r w:rsidR="00D77BAC" w:rsidRPr="003E1AD0">
        <w:rPr>
          <w:color w:val="0E2841" w:themeColor="text2"/>
          <w:szCs w:val="22"/>
        </w:rPr>
        <w:t>MBS Online</w:t>
      </w:r>
      <w:r w:rsidR="004E0A9A" w:rsidRPr="003E1AD0">
        <w:rPr>
          <w:color w:val="0E2841" w:themeColor="text2"/>
          <w:szCs w:val="22"/>
        </w:rPr>
        <w:t xml:space="preserve"> - </w:t>
      </w:r>
      <w:r w:rsidR="00D77BAC" w:rsidRPr="003E1AD0">
        <w:rPr>
          <w:color w:val="0E2841" w:themeColor="text2"/>
          <w:szCs w:val="22"/>
        </w:rPr>
        <w:t xml:space="preserve">Factsheet Privacy checklist for telehealth services </w:t>
      </w:r>
      <w:hyperlink r:id="rId22" w:history="1">
        <w:r w:rsidRPr="003E1AD0">
          <w:rPr>
            <w:rStyle w:val="Hyperlink"/>
            <w:color w:val="0E2841" w:themeColor="text2"/>
            <w:szCs w:val="22"/>
          </w:rPr>
          <w:t>https://www.mbsonline.gov.au/internet/mbsonline/publishing.nsf/Content/F47F4FC1848FAEC2CA25855D008395C9/$File/Factsheet-privacy-checklist-for-telehealth-services-20200804.pdf</w:t>
        </w:r>
      </w:hyperlink>
    </w:p>
    <w:sectPr w:rsidR="009843DF" w:rsidRPr="003E1AD0" w:rsidSect="00221760">
      <w:headerReference w:type="default" r:id="rId23"/>
      <w:footerReference w:type="default" r:id="rId24"/>
      <w:pgSz w:w="11906" w:h="16838"/>
      <w:pgMar w:top="1931" w:right="1111" w:bottom="2652" w:left="101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0AC8F" w14:textId="77777777" w:rsidR="00611D0D" w:rsidRDefault="00611D0D" w:rsidP="003753BD">
      <w:pPr>
        <w:spacing w:after="0" w:line="240" w:lineRule="auto"/>
      </w:pPr>
      <w:r>
        <w:separator/>
      </w:r>
    </w:p>
  </w:endnote>
  <w:endnote w:type="continuationSeparator" w:id="0">
    <w:p w14:paraId="76129C26" w14:textId="77777777" w:rsidR="00611D0D" w:rsidRDefault="00611D0D" w:rsidP="00375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BBF6A" w14:textId="03AFCFD6" w:rsidR="00221760" w:rsidRDefault="00221760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AC4F06E" wp14:editId="3EE1EBAA">
          <wp:simplePos x="0" y="0"/>
          <wp:positionH relativeFrom="margin">
            <wp:posOffset>-651933</wp:posOffset>
          </wp:positionH>
          <wp:positionV relativeFrom="margin">
            <wp:posOffset>8134139</wp:posOffset>
          </wp:positionV>
          <wp:extent cx="7613650" cy="1486535"/>
          <wp:effectExtent l="0" t="0" r="0" b="0"/>
          <wp:wrapThrough wrapText="bothSides">
            <wp:wrapPolygon edited="0">
              <wp:start x="1729" y="3506"/>
              <wp:lineTo x="1513" y="4982"/>
              <wp:lineTo x="1477" y="5905"/>
              <wp:lineTo x="1585" y="8120"/>
              <wp:lineTo x="7026" y="9780"/>
              <wp:lineTo x="10809" y="9780"/>
              <wp:lineTo x="1513" y="11626"/>
              <wp:lineTo x="1513" y="13287"/>
              <wp:lineTo x="2342" y="13840"/>
              <wp:lineTo x="3387" y="14209"/>
              <wp:lineTo x="7026" y="14209"/>
              <wp:lineTo x="20105" y="13656"/>
              <wp:lineTo x="20105" y="11626"/>
              <wp:lineTo x="10773" y="9780"/>
              <wp:lineTo x="8323" y="6828"/>
              <wp:lineTo x="19997" y="6828"/>
              <wp:lineTo x="19997" y="4798"/>
              <wp:lineTo x="6954" y="3506"/>
              <wp:lineTo x="1729" y="3506"/>
            </wp:wrapPolygon>
          </wp:wrapThrough>
          <wp:docPr id="627349562" name="Picture 627349562" descr="A black and white background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7349562" name="Picture 627349562" descr="A black and white background with blu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3650" cy="1486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ECF65" w14:textId="77777777" w:rsidR="00611D0D" w:rsidRDefault="00611D0D" w:rsidP="003753BD">
      <w:pPr>
        <w:spacing w:after="0" w:line="240" w:lineRule="auto"/>
      </w:pPr>
      <w:r>
        <w:separator/>
      </w:r>
    </w:p>
  </w:footnote>
  <w:footnote w:type="continuationSeparator" w:id="0">
    <w:p w14:paraId="6D05D717" w14:textId="77777777" w:rsidR="00611D0D" w:rsidRDefault="00611D0D" w:rsidP="003753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F26A3" w14:textId="2AB9499E" w:rsidR="00DB0169" w:rsidRPr="001B5556" w:rsidRDefault="00DB0169" w:rsidP="0068033C">
    <w:pPr>
      <w:pStyle w:val="Title"/>
      <w:ind w:left="7088" w:hanging="992"/>
      <w:jc w:val="right"/>
      <w:rPr>
        <w:rFonts w:asciiTheme="minorHAnsi" w:hAnsiTheme="minorHAnsi"/>
        <w:color w:val="013844"/>
        <w:spacing w:val="0"/>
        <w:sz w:val="24"/>
        <w:szCs w:val="24"/>
      </w:rPr>
    </w:pPr>
    <w:r w:rsidRPr="001B5556"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5019EFBD" wp14:editId="0E0F0C2A">
          <wp:simplePos x="0" y="0"/>
          <wp:positionH relativeFrom="column">
            <wp:posOffset>0</wp:posOffset>
          </wp:positionH>
          <wp:positionV relativeFrom="paragraph">
            <wp:posOffset>12912</wp:posOffset>
          </wp:positionV>
          <wp:extent cx="1362710" cy="252095"/>
          <wp:effectExtent l="0" t="0" r="0" b="1905"/>
          <wp:wrapNone/>
          <wp:docPr id="1812912742" name="Picture 1" descr="A blue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2912742" name="Picture 1" descr="A blue and black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710" cy="252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B5556">
      <w:rPr>
        <w:rFonts w:asciiTheme="minorHAnsi" w:hAnsiTheme="minorHAnsi"/>
        <w:color w:val="013844"/>
        <w:spacing w:val="0"/>
        <w:sz w:val="24"/>
        <w:szCs w:val="24"/>
      </w:rPr>
      <w:t>Virtual</w:t>
    </w:r>
    <w:r>
      <w:rPr>
        <w:rFonts w:asciiTheme="minorHAnsi" w:hAnsiTheme="minorHAnsi"/>
        <w:color w:val="013844"/>
        <w:spacing w:val="0"/>
        <w:sz w:val="24"/>
        <w:szCs w:val="24"/>
      </w:rPr>
      <w:t xml:space="preserve"> Care Roll-out</w:t>
    </w:r>
    <w:r w:rsidR="0068033C">
      <w:rPr>
        <w:rFonts w:asciiTheme="minorHAnsi" w:hAnsiTheme="minorHAnsi"/>
        <w:color w:val="013844"/>
        <w:spacing w:val="0"/>
        <w:sz w:val="24"/>
        <w:szCs w:val="24"/>
      </w:rPr>
      <w:t xml:space="preserve"> </w:t>
    </w:r>
    <w:r>
      <w:rPr>
        <w:rFonts w:asciiTheme="minorHAnsi" w:hAnsiTheme="minorHAnsi"/>
        <w:color w:val="013844"/>
        <w:spacing w:val="0"/>
        <w:sz w:val="24"/>
        <w:szCs w:val="24"/>
      </w:rPr>
      <w:t xml:space="preserve">Project Plan </w:t>
    </w:r>
    <w:r w:rsidR="0068033C">
      <w:rPr>
        <w:rFonts w:asciiTheme="minorHAnsi" w:hAnsiTheme="minorHAnsi"/>
        <w:color w:val="013844"/>
        <w:spacing w:val="0"/>
        <w:sz w:val="24"/>
        <w:szCs w:val="24"/>
      </w:rPr>
      <w:br/>
    </w:r>
    <w:r>
      <w:rPr>
        <w:rFonts w:asciiTheme="minorHAnsi" w:hAnsiTheme="minorHAnsi"/>
        <w:color w:val="013844"/>
        <w:spacing w:val="0"/>
        <w:sz w:val="24"/>
        <w:szCs w:val="24"/>
      </w:rPr>
      <w:t xml:space="preserve">for </w:t>
    </w:r>
    <w:r w:rsidR="0068033C">
      <w:rPr>
        <w:rFonts w:asciiTheme="minorHAnsi" w:hAnsiTheme="minorHAnsi"/>
        <w:color w:val="013844"/>
        <w:spacing w:val="0"/>
        <w:sz w:val="24"/>
        <w:szCs w:val="24"/>
      </w:rPr>
      <w:t>Residential Aged Care</w:t>
    </w:r>
  </w:p>
  <w:p w14:paraId="2C561697" w14:textId="77777777" w:rsidR="00DB0169" w:rsidRDefault="00DB0169" w:rsidP="00DB01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320FEE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728E6"/>
    <w:multiLevelType w:val="multilevel"/>
    <w:tmpl w:val="75FA7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527AC"/>
    <w:multiLevelType w:val="multilevel"/>
    <w:tmpl w:val="7396A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0E0CA0"/>
    <w:multiLevelType w:val="multilevel"/>
    <w:tmpl w:val="210AC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12218C"/>
    <w:multiLevelType w:val="multilevel"/>
    <w:tmpl w:val="426C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42522B"/>
    <w:multiLevelType w:val="multilevel"/>
    <w:tmpl w:val="F7063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722939"/>
    <w:multiLevelType w:val="multilevel"/>
    <w:tmpl w:val="5FF81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A2752C"/>
    <w:multiLevelType w:val="multilevel"/>
    <w:tmpl w:val="E9A2B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C32D98"/>
    <w:multiLevelType w:val="multilevel"/>
    <w:tmpl w:val="D644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2A3EA4"/>
    <w:multiLevelType w:val="multilevel"/>
    <w:tmpl w:val="CD585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B3094B"/>
    <w:multiLevelType w:val="multilevel"/>
    <w:tmpl w:val="4544C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34582A"/>
    <w:multiLevelType w:val="multilevel"/>
    <w:tmpl w:val="3DD6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352F25"/>
    <w:multiLevelType w:val="multilevel"/>
    <w:tmpl w:val="B2C23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DF0B12"/>
    <w:multiLevelType w:val="multilevel"/>
    <w:tmpl w:val="BE34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DF70FD"/>
    <w:multiLevelType w:val="multilevel"/>
    <w:tmpl w:val="ECD08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3555D5"/>
    <w:multiLevelType w:val="multilevel"/>
    <w:tmpl w:val="10B2C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EE21C2"/>
    <w:multiLevelType w:val="multilevel"/>
    <w:tmpl w:val="8AC6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367986"/>
    <w:multiLevelType w:val="multilevel"/>
    <w:tmpl w:val="C9647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2E2AE7"/>
    <w:multiLevelType w:val="multilevel"/>
    <w:tmpl w:val="45A4F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517E99"/>
    <w:multiLevelType w:val="multilevel"/>
    <w:tmpl w:val="F43E8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120C73"/>
    <w:multiLevelType w:val="multilevel"/>
    <w:tmpl w:val="9D6A8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DA3612"/>
    <w:multiLevelType w:val="multilevel"/>
    <w:tmpl w:val="14427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C07BCE"/>
    <w:multiLevelType w:val="multilevel"/>
    <w:tmpl w:val="A934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FA23CE"/>
    <w:multiLevelType w:val="multilevel"/>
    <w:tmpl w:val="7C148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734F46"/>
    <w:multiLevelType w:val="multilevel"/>
    <w:tmpl w:val="0CCEA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F058A0"/>
    <w:multiLevelType w:val="multilevel"/>
    <w:tmpl w:val="6BBA5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386EE8"/>
    <w:multiLevelType w:val="multilevel"/>
    <w:tmpl w:val="2E9A5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E556E2"/>
    <w:multiLevelType w:val="multilevel"/>
    <w:tmpl w:val="CC927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CB036A"/>
    <w:multiLevelType w:val="multilevel"/>
    <w:tmpl w:val="33826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F26811"/>
    <w:multiLevelType w:val="multilevel"/>
    <w:tmpl w:val="31AE3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B30192"/>
    <w:multiLevelType w:val="multilevel"/>
    <w:tmpl w:val="EAEAB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E91230"/>
    <w:multiLevelType w:val="multilevel"/>
    <w:tmpl w:val="D5D00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9436BE"/>
    <w:multiLevelType w:val="multilevel"/>
    <w:tmpl w:val="88B03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226D0B"/>
    <w:multiLevelType w:val="multilevel"/>
    <w:tmpl w:val="1DFE0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2F63EA"/>
    <w:multiLevelType w:val="multilevel"/>
    <w:tmpl w:val="C778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45387A"/>
    <w:multiLevelType w:val="multilevel"/>
    <w:tmpl w:val="B4BC1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80319C"/>
    <w:multiLevelType w:val="multilevel"/>
    <w:tmpl w:val="B7F02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08117E"/>
    <w:multiLevelType w:val="multilevel"/>
    <w:tmpl w:val="6600A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EA60E9"/>
    <w:multiLevelType w:val="multilevel"/>
    <w:tmpl w:val="30964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D3119A"/>
    <w:multiLevelType w:val="multilevel"/>
    <w:tmpl w:val="0CFC8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7C42EE"/>
    <w:multiLevelType w:val="multilevel"/>
    <w:tmpl w:val="F2F67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490C14"/>
    <w:multiLevelType w:val="multilevel"/>
    <w:tmpl w:val="38B04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7DA3A5D"/>
    <w:multiLevelType w:val="multilevel"/>
    <w:tmpl w:val="9918A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070CD1"/>
    <w:multiLevelType w:val="multilevel"/>
    <w:tmpl w:val="9A540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B594666"/>
    <w:multiLevelType w:val="multilevel"/>
    <w:tmpl w:val="F91C5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B81699B"/>
    <w:multiLevelType w:val="multilevel"/>
    <w:tmpl w:val="5B706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3C6B20"/>
    <w:multiLevelType w:val="multilevel"/>
    <w:tmpl w:val="F618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E3C1EC2"/>
    <w:multiLevelType w:val="multilevel"/>
    <w:tmpl w:val="5928D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4901554">
    <w:abstractNumId w:val="20"/>
  </w:num>
  <w:num w:numId="2" w16cid:durableId="953832049">
    <w:abstractNumId w:val="41"/>
  </w:num>
  <w:num w:numId="3" w16cid:durableId="1696955635">
    <w:abstractNumId w:val="22"/>
  </w:num>
  <w:num w:numId="4" w16cid:durableId="257257325">
    <w:abstractNumId w:val="27"/>
  </w:num>
  <w:num w:numId="5" w16cid:durableId="1649356298">
    <w:abstractNumId w:val="40"/>
  </w:num>
  <w:num w:numId="6" w16cid:durableId="1977248538">
    <w:abstractNumId w:val="39"/>
  </w:num>
  <w:num w:numId="7" w16cid:durableId="1952591849">
    <w:abstractNumId w:val="11"/>
  </w:num>
  <w:num w:numId="8" w16cid:durableId="2091536319">
    <w:abstractNumId w:val="13"/>
  </w:num>
  <w:num w:numId="9" w16cid:durableId="27222928">
    <w:abstractNumId w:val="21"/>
  </w:num>
  <w:num w:numId="10" w16cid:durableId="567308664">
    <w:abstractNumId w:val="24"/>
  </w:num>
  <w:num w:numId="11" w16cid:durableId="2130204313">
    <w:abstractNumId w:val="19"/>
  </w:num>
  <w:num w:numId="12" w16cid:durableId="1229538800">
    <w:abstractNumId w:val="23"/>
  </w:num>
  <w:num w:numId="13" w16cid:durableId="1391222405">
    <w:abstractNumId w:val="17"/>
  </w:num>
  <w:num w:numId="14" w16cid:durableId="856773290">
    <w:abstractNumId w:val="26"/>
  </w:num>
  <w:num w:numId="15" w16cid:durableId="342974157">
    <w:abstractNumId w:val="5"/>
  </w:num>
  <w:num w:numId="16" w16cid:durableId="727725512">
    <w:abstractNumId w:val="15"/>
  </w:num>
  <w:num w:numId="17" w16cid:durableId="992442400">
    <w:abstractNumId w:val="44"/>
  </w:num>
  <w:num w:numId="18" w16cid:durableId="1052271094">
    <w:abstractNumId w:val="34"/>
  </w:num>
  <w:num w:numId="19" w16cid:durableId="1117334779">
    <w:abstractNumId w:val="37"/>
  </w:num>
  <w:num w:numId="20" w16cid:durableId="1370883627">
    <w:abstractNumId w:val="28"/>
  </w:num>
  <w:num w:numId="21" w16cid:durableId="1923907394">
    <w:abstractNumId w:val="18"/>
  </w:num>
  <w:num w:numId="22" w16cid:durableId="1028406732">
    <w:abstractNumId w:val="33"/>
  </w:num>
  <w:num w:numId="23" w16cid:durableId="422342271">
    <w:abstractNumId w:val="3"/>
  </w:num>
  <w:num w:numId="24" w16cid:durableId="250969961">
    <w:abstractNumId w:val="31"/>
  </w:num>
  <w:num w:numId="25" w16cid:durableId="2129931716">
    <w:abstractNumId w:val="25"/>
  </w:num>
  <w:num w:numId="26" w16cid:durableId="1647247658">
    <w:abstractNumId w:val="36"/>
  </w:num>
  <w:num w:numId="27" w16cid:durableId="1018855048">
    <w:abstractNumId w:val="12"/>
  </w:num>
  <w:num w:numId="28" w16cid:durableId="1075083554">
    <w:abstractNumId w:val="4"/>
  </w:num>
  <w:num w:numId="29" w16cid:durableId="1233198354">
    <w:abstractNumId w:val="47"/>
  </w:num>
  <w:num w:numId="30" w16cid:durableId="1335106801">
    <w:abstractNumId w:val="10"/>
  </w:num>
  <w:num w:numId="31" w16cid:durableId="1973124250">
    <w:abstractNumId w:val="43"/>
  </w:num>
  <w:num w:numId="32" w16cid:durableId="1209953490">
    <w:abstractNumId w:val="30"/>
  </w:num>
  <w:num w:numId="33" w16cid:durableId="1850677662">
    <w:abstractNumId w:val="8"/>
  </w:num>
  <w:num w:numId="34" w16cid:durableId="1580290395">
    <w:abstractNumId w:val="38"/>
  </w:num>
  <w:num w:numId="35" w16cid:durableId="1806729076">
    <w:abstractNumId w:val="29"/>
  </w:num>
  <w:num w:numId="36" w16cid:durableId="1885097975">
    <w:abstractNumId w:val="32"/>
  </w:num>
  <w:num w:numId="37" w16cid:durableId="1966420420">
    <w:abstractNumId w:val="2"/>
  </w:num>
  <w:num w:numId="38" w16cid:durableId="895701650">
    <w:abstractNumId w:val="45"/>
  </w:num>
  <w:num w:numId="39" w16cid:durableId="1469863694">
    <w:abstractNumId w:val="1"/>
  </w:num>
  <w:num w:numId="40" w16cid:durableId="739016411">
    <w:abstractNumId w:val="42"/>
  </w:num>
  <w:num w:numId="41" w16cid:durableId="30810087">
    <w:abstractNumId w:val="46"/>
  </w:num>
  <w:num w:numId="42" w16cid:durableId="1689942440">
    <w:abstractNumId w:val="9"/>
  </w:num>
  <w:num w:numId="43" w16cid:durableId="1907371442">
    <w:abstractNumId w:val="35"/>
  </w:num>
  <w:num w:numId="44" w16cid:durableId="1921139921">
    <w:abstractNumId w:val="14"/>
  </w:num>
  <w:num w:numId="45" w16cid:durableId="994184275">
    <w:abstractNumId w:val="16"/>
  </w:num>
  <w:num w:numId="46" w16cid:durableId="1155953455">
    <w:abstractNumId w:val="6"/>
  </w:num>
  <w:num w:numId="47" w16cid:durableId="194318017">
    <w:abstractNumId w:val="7"/>
  </w:num>
  <w:num w:numId="48" w16cid:durableId="2109349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B51"/>
    <w:rsid w:val="000C26EC"/>
    <w:rsid w:val="001A2B51"/>
    <w:rsid w:val="00221760"/>
    <w:rsid w:val="00260032"/>
    <w:rsid w:val="002957B2"/>
    <w:rsid w:val="002A3775"/>
    <w:rsid w:val="003753BD"/>
    <w:rsid w:val="003E1AD0"/>
    <w:rsid w:val="003F3B19"/>
    <w:rsid w:val="00421870"/>
    <w:rsid w:val="004B3760"/>
    <w:rsid w:val="004B7294"/>
    <w:rsid w:val="004E0A9A"/>
    <w:rsid w:val="005871E5"/>
    <w:rsid w:val="00611D0D"/>
    <w:rsid w:val="0061414A"/>
    <w:rsid w:val="00654A14"/>
    <w:rsid w:val="0065517F"/>
    <w:rsid w:val="0068033C"/>
    <w:rsid w:val="007210F2"/>
    <w:rsid w:val="00730379"/>
    <w:rsid w:val="007623BD"/>
    <w:rsid w:val="008406C2"/>
    <w:rsid w:val="00883EDF"/>
    <w:rsid w:val="0088417C"/>
    <w:rsid w:val="008B313E"/>
    <w:rsid w:val="009843DF"/>
    <w:rsid w:val="00A66AE8"/>
    <w:rsid w:val="00AE2F0F"/>
    <w:rsid w:val="00B12BBB"/>
    <w:rsid w:val="00B23E4B"/>
    <w:rsid w:val="00B4540B"/>
    <w:rsid w:val="00B73659"/>
    <w:rsid w:val="00BA74CE"/>
    <w:rsid w:val="00BB64C0"/>
    <w:rsid w:val="00BE3E63"/>
    <w:rsid w:val="00C13656"/>
    <w:rsid w:val="00D75523"/>
    <w:rsid w:val="00D77BAC"/>
    <w:rsid w:val="00DB0169"/>
    <w:rsid w:val="00E43B97"/>
    <w:rsid w:val="00FD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79F2F3"/>
  <w15:chartTrackingRefBased/>
  <w15:docId w15:val="{D4543431-96CB-4B74-A201-F01FA0E0B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1E5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1A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color w:val="0F4761" w:themeColor="accent1" w:themeShade="BF"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71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2B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2B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2B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2B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2B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2B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2B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AD0"/>
    <w:rPr>
      <w:rFonts w:asciiTheme="majorHAnsi" w:eastAsiaTheme="majorEastAsia" w:hAnsiTheme="majorHAnsi" w:cstheme="majorBidi"/>
      <w:b/>
      <w:color w:val="0F4761" w:themeColor="accent1" w:themeShade="BF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871E5"/>
    <w:rPr>
      <w:rFonts w:asciiTheme="majorHAnsi" w:eastAsiaTheme="majorEastAsia" w:hAnsiTheme="majorHAnsi" w:cstheme="majorBidi"/>
      <w:b/>
      <w:color w:val="0F4761" w:themeColor="accent1" w:themeShade="BF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A2B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2B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2B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2B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2B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2B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2B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2B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2B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2B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2B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2B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2B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2B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2B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2B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2B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2B5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A2B5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2B5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F3B19"/>
    <w:rPr>
      <w:color w:val="666666"/>
    </w:rPr>
  </w:style>
  <w:style w:type="paragraph" w:styleId="TOC1">
    <w:name w:val="toc 1"/>
    <w:basedOn w:val="Normal"/>
    <w:next w:val="Normal"/>
    <w:autoRedefine/>
    <w:uiPriority w:val="39"/>
    <w:unhideWhenUsed/>
    <w:rsid w:val="00730379"/>
    <w:pPr>
      <w:tabs>
        <w:tab w:val="right" w:leader="dot" w:pos="9016"/>
      </w:tabs>
      <w:spacing w:after="100"/>
    </w:pPr>
    <w:rPr>
      <w:rFonts w:ascii="Aptos" w:hAnsi="Aptos"/>
      <w:noProof/>
      <w:color w:val="013844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FD0D6B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FD0D6B"/>
    <w:pPr>
      <w:spacing w:after="100"/>
      <w:ind w:left="480"/>
    </w:pPr>
  </w:style>
  <w:style w:type="paragraph" w:styleId="Header">
    <w:name w:val="header"/>
    <w:basedOn w:val="Normal"/>
    <w:link w:val="HeaderChar"/>
    <w:uiPriority w:val="99"/>
    <w:unhideWhenUsed/>
    <w:rsid w:val="003753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3BD"/>
  </w:style>
  <w:style w:type="paragraph" w:styleId="Footer">
    <w:name w:val="footer"/>
    <w:basedOn w:val="Normal"/>
    <w:link w:val="FooterChar"/>
    <w:uiPriority w:val="99"/>
    <w:unhideWhenUsed/>
    <w:rsid w:val="003753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3BD"/>
  </w:style>
  <w:style w:type="table" w:styleId="TableGrid">
    <w:name w:val="Table Grid"/>
    <w:basedOn w:val="TableNormal"/>
    <w:uiPriority w:val="59"/>
    <w:rsid w:val="005871E5"/>
    <w:pPr>
      <w:spacing w:after="0"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BB64C0"/>
    <w:pPr>
      <w:numPr>
        <w:numId w:val="48"/>
      </w:numPr>
      <w:tabs>
        <w:tab w:val="clear" w:pos="360"/>
      </w:tabs>
      <w:spacing w:after="200" w:line="276" w:lineRule="auto"/>
      <w:ind w:left="0" w:firstLine="0"/>
      <w:contextualSpacing/>
    </w:pPr>
    <w:rPr>
      <w:rFonts w:ascii="Calibri" w:eastAsia="Calibri" w:hAnsi="Calibri"/>
      <w:kern w:val="0"/>
      <w:szCs w:val="22"/>
      <w:lang w:val="en-US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B73659"/>
    <w:pPr>
      <w:spacing w:before="240" w:after="0" w:line="259" w:lineRule="auto"/>
      <w:outlineLvl w:val="9"/>
    </w:pPr>
    <w:rPr>
      <w:kern w:val="0"/>
      <w:sz w:val="24"/>
      <w:szCs w:val="3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acgp.org.au/running-a-practice/technology/clinical-technology/telehealth/guide-to-providing-telephone-and-video-consultatio/principles-for-conducting-telehealth-consultations" TargetMode="External"/><Relationship Id="rId18" Type="http://schemas.openxmlformats.org/officeDocument/2006/relationships/hyperlink" Target="https://www.safetyandquality.gov.au/our-work/e-health-safety/safety-and-quality-virtual-care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health.vic.gov.au/virtual-care-operational-framework/virtual-care-operating-framework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medicalboard.gov.au/Codes-Guidelines-Policies/Telehealth-consultations-with-patients.aspx" TargetMode="External"/><Relationship Id="rId17" Type="http://schemas.openxmlformats.org/officeDocument/2006/relationships/hyperlink" Target="https://aci.health.nsw.gov.au/virtual-care-in-practice/implementation/monitoring-and-evaluation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aci.health.nsw.gov.au/virtual-care-in-practice/implementation" TargetMode="External"/><Relationship Id="rId20" Type="http://schemas.openxmlformats.org/officeDocument/2006/relationships/hyperlink" Target="https://www.cec.health.nsw.gov.au/__data/assets/pdf_file/0010/805906/Embedding-virtual-care-in-safety-and-quality-frameworks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hpra.gov.au/Resources/Information-for-practitioners-who-provide-virtual-care.aspx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digitalhealth.gov.au/sites/default/files/2020-11/Online_conferencing_technologies-Connected_secure_consultations.pdf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www.safetyandquality.gov.au/standards/nsqhs-standards/recognising-and-responding-acute-deterioration-standard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oaic.gov.au/privacy/privacy-guidance-for-organisations-and-government-agencies/health-service-providers/guide-to-health-privacy" TargetMode="External"/><Relationship Id="rId22" Type="http://schemas.openxmlformats.org/officeDocument/2006/relationships/hyperlink" Target="https://www.mbsonline.gov.au/internet/mbsonline/publishing.nsf/Content/F47F4FC1848FAEC2CA25855D008395C9/$File/Factsheet-privacy-checklist-for-telehealth-services-20200804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07ADAE8EBB2247AA81344CDE4E6E5C" ma:contentTypeVersion="13" ma:contentTypeDescription="Create a new document." ma:contentTypeScope="" ma:versionID="536361cb631bf0b5e87f42d57e67e5dc">
  <xsd:schema xmlns:xsd="http://www.w3.org/2001/XMLSchema" xmlns:xs="http://www.w3.org/2001/XMLSchema" xmlns:p="http://schemas.microsoft.com/office/2006/metadata/properties" xmlns:ns2="d567775c-3a20-4032-befc-41815fa63248" xmlns:ns3="b03a0273-6752-4dea-a034-8d7c79120899" targetNamespace="http://schemas.microsoft.com/office/2006/metadata/properties" ma:root="true" ma:fieldsID="71b28eddd113e840aaa5a075b37fc439" ns2:_="" ns3:_="">
    <xsd:import namespace="d567775c-3a20-4032-befc-41815fa63248"/>
    <xsd:import namespace="b03a0273-6752-4dea-a034-8d7c79120899"/>
    <xsd:element name="properties">
      <xsd:complexType>
        <xsd:sequence>
          <xsd:element name="documentManagement">
            <xsd:complexType>
              <xsd:all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Complete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7775c-3a20-4032-befc-41815fa63248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Complete" ma:index="13" nillable="true" ma:displayName="Complete" ma:default="1" ma:format="Dropdown" ma:internalName="Complete">
      <xsd:simpleType>
        <xsd:restriction base="dms:Boolean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486e9e1-ed01-4902-a83f-e19ea9cbd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3a0273-6752-4dea-a034-8d7c7912089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fc7097b-407c-4e10-81c0-d264659b315c}" ma:internalName="TaxCatchAll" ma:showField="CatchAllData" ma:web="b03a0273-6752-4dea-a034-8d7c791208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3a0273-6752-4dea-a034-8d7c79120899" xsi:nil="true"/>
    <lcf76f155ced4ddcb4097134ff3c332f xmlns="d567775c-3a20-4032-befc-41815fa63248">
      <Terms xmlns="http://schemas.microsoft.com/office/infopath/2007/PartnerControls"/>
    </lcf76f155ced4ddcb4097134ff3c332f>
    <Complete xmlns="d567775c-3a20-4032-befc-41815fa63248">true</Complet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0E23F-F8F7-4A24-BE3A-422A2A2D9C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67775c-3a20-4032-befc-41815fa63248"/>
    <ds:schemaRef ds:uri="b03a0273-6752-4dea-a034-8d7c791208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7AA433-7112-4C51-B798-DD670F5FA3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1120E5-ECA7-4499-9CCE-2AA110C92F62}">
  <ds:schemaRefs>
    <ds:schemaRef ds:uri="http://schemas.microsoft.com/office/2006/metadata/properties"/>
    <ds:schemaRef ds:uri="http://schemas.microsoft.com/office/infopath/2007/PartnerControls"/>
    <ds:schemaRef ds:uri="b03a0273-6752-4dea-a034-8d7c79120899"/>
    <ds:schemaRef ds:uri="d567775c-3a20-4032-befc-41815fa63248"/>
  </ds:schemaRefs>
</ds:datastoreItem>
</file>

<file path=customXml/itemProps4.xml><?xml version="1.0" encoding="utf-8"?>
<ds:datastoreItem xmlns:ds="http://schemas.openxmlformats.org/officeDocument/2006/customXml" ds:itemID="{E93F7DC2-1192-424F-B432-AD09BB556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2261</Words>
  <Characters>14179</Characters>
  <Application>Microsoft Office Word</Application>
  <DocSecurity>0</DocSecurity>
  <Lines>405</Lines>
  <Paragraphs>288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 Warwick</dc:creator>
  <cp:keywords/>
  <dc:description/>
  <cp:lastModifiedBy>Abe Warwick</cp:lastModifiedBy>
  <cp:revision>8</cp:revision>
  <dcterms:created xsi:type="dcterms:W3CDTF">2026-02-26T02:09:00Z</dcterms:created>
  <dcterms:modified xsi:type="dcterms:W3CDTF">2026-02-26T02:19:00Z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0x0101008507ADAE8EBB2247AA81344CDE4E6E5C</vt:lpwstr>
  </property>
  <property fmtid="{D5CDD505-2E9C-101B-9397-08002B2CF9AE}" pid="3" name="MediaServiceImageTags">
    <vt:lpwstr/>
  </property>
</Properties>
</file>